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936B2" w:rsidRDefault="00B936B2" w:rsidP="00541B6F">
      <w:pPr>
        <w:jc w:val="center"/>
        <w:rPr>
          <w:b/>
          <w:sz w:val="28"/>
        </w:rPr>
      </w:pPr>
      <w:r>
        <w:rPr>
          <w:b/>
          <w:sz w:val="28"/>
        </w:rPr>
        <w:t xml:space="preserve">The </w:t>
      </w:r>
      <w:proofErr w:type="spellStart"/>
      <w:r>
        <w:rPr>
          <w:b/>
          <w:sz w:val="28"/>
        </w:rPr>
        <w:t>Agon</w:t>
      </w:r>
      <w:proofErr w:type="spellEnd"/>
      <w:r>
        <w:rPr>
          <w:b/>
          <w:sz w:val="28"/>
        </w:rPr>
        <w:t xml:space="preserve"> and the </w:t>
      </w:r>
      <w:proofErr w:type="spellStart"/>
      <w:r>
        <w:rPr>
          <w:b/>
          <w:sz w:val="28"/>
        </w:rPr>
        <w:t>Anthropology</w:t>
      </w:r>
      <w:proofErr w:type="spellEnd"/>
      <w:r>
        <w:rPr>
          <w:b/>
          <w:sz w:val="28"/>
        </w:rPr>
        <w:t xml:space="preserve"> of Law</w:t>
      </w:r>
    </w:p>
    <w:p w:rsidR="00330A51" w:rsidRDefault="00330A51" w:rsidP="00541B6F">
      <w:pPr>
        <w:jc w:val="center"/>
        <w:rPr>
          <w:b/>
          <w:sz w:val="28"/>
        </w:rPr>
      </w:pPr>
      <w:r>
        <w:rPr>
          <w:b/>
          <w:sz w:val="28"/>
        </w:rPr>
        <w:t>Une i</w:t>
      </w:r>
      <w:r w:rsidR="00B936B2">
        <w:rPr>
          <w:b/>
          <w:sz w:val="28"/>
        </w:rPr>
        <w:t>ntroduction à une relecture</w:t>
      </w:r>
      <w:r w:rsidR="00541B6F" w:rsidRPr="00541B6F">
        <w:rPr>
          <w:b/>
          <w:sz w:val="28"/>
        </w:rPr>
        <w:t xml:space="preserve"> « dynamique » du conflit</w:t>
      </w:r>
    </w:p>
    <w:p w:rsidR="00541B6F" w:rsidRDefault="00541B6F" w:rsidP="00541B6F">
      <w:pPr>
        <w:jc w:val="right"/>
      </w:pPr>
    </w:p>
    <w:p w:rsidR="00541B6F" w:rsidRDefault="00541B6F" w:rsidP="00541B6F">
      <w:pPr>
        <w:jc w:val="right"/>
      </w:pPr>
    </w:p>
    <w:p w:rsidR="00541B6F" w:rsidRDefault="00541B6F" w:rsidP="00541B6F">
      <w:pPr>
        <w:jc w:val="right"/>
      </w:pPr>
      <w:r>
        <w:t>Etienne Le Roy</w:t>
      </w:r>
      <w:r w:rsidR="00330A51">
        <w:rPr>
          <w:rStyle w:val="Marquenotebasdepage"/>
        </w:rPr>
        <w:footnoteReference w:id="0"/>
      </w:r>
    </w:p>
    <w:p w:rsidR="00541B6F" w:rsidRDefault="00541B6F" w:rsidP="00541B6F">
      <w:pPr>
        <w:jc w:val="right"/>
      </w:pPr>
    </w:p>
    <w:p w:rsidR="00541B6F" w:rsidRDefault="00541B6F" w:rsidP="00541B6F">
      <w:pPr>
        <w:jc w:val="both"/>
      </w:pPr>
    </w:p>
    <w:p w:rsidR="00541B6F" w:rsidRPr="00B936B2" w:rsidRDefault="00541B6F" w:rsidP="00541B6F">
      <w:pPr>
        <w:jc w:val="both"/>
        <w:rPr>
          <w:b/>
        </w:rPr>
      </w:pPr>
      <w:r w:rsidRPr="00B936B2">
        <w:rPr>
          <w:b/>
        </w:rPr>
        <w:t xml:space="preserve">Introduction </w:t>
      </w:r>
    </w:p>
    <w:p w:rsidR="00FE2EDF" w:rsidRDefault="00FE2EDF" w:rsidP="00541B6F">
      <w:pPr>
        <w:jc w:val="both"/>
        <w:rPr>
          <w:rFonts w:ascii="Verdana" w:hAnsi="Verdana" w:cs="Verdana"/>
          <w:color w:val="517082"/>
          <w:sz w:val="22"/>
          <w:szCs w:val="22"/>
        </w:rPr>
      </w:pPr>
      <w:r>
        <w:t xml:space="preserve">Dans une démarche qui s’interroge sur la part du consensus et du </w:t>
      </w:r>
      <w:proofErr w:type="spellStart"/>
      <w:r>
        <w:t>dissensus</w:t>
      </w:r>
      <w:proofErr w:type="spellEnd"/>
      <w:r>
        <w:t xml:space="preserve">  dans la vie démocratique et le rapport du conflit à l’é/</w:t>
      </w:r>
      <w:r>
        <w:rPr>
          <w:rFonts w:ascii="Cambria" w:hAnsi="Cambria"/>
        </w:rPr>
        <w:t>É</w:t>
      </w:r>
      <w:r>
        <w:t xml:space="preserve">tat de droit, les concepteurs du </w:t>
      </w:r>
      <w:r w:rsidR="00E8728B">
        <w:t>workshop</w:t>
      </w:r>
      <w:r>
        <w:t xml:space="preserve"> ont choisi en particulier  de s’interroger sur </w:t>
      </w:r>
      <w:r w:rsidRPr="00FE2EDF">
        <w:rPr>
          <w:rFonts w:ascii="Verdana" w:hAnsi="Verdana" w:cs="Verdana"/>
          <w:color w:val="517082"/>
          <w:sz w:val="22"/>
          <w:szCs w:val="22"/>
        </w:rPr>
        <w:t xml:space="preserve"> </w:t>
      </w:r>
      <w:r>
        <w:rPr>
          <w:rFonts w:ascii="Verdana" w:hAnsi="Verdana" w:cs="Verdana"/>
          <w:color w:val="517082"/>
          <w:sz w:val="22"/>
          <w:szCs w:val="22"/>
        </w:rPr>
        <w:t>« </w:t>
      </w:r>
      <w:proofErr w:type="spellStart"/>
      <w:r>
        <w:rPr>
          <w:rFonts w:ascii="Verdana" w:hAnsi="Verdana" w:cs="Verdana"/>
          <w:color w:val="517082"/>
          <w:sz w:val="22"/>
          <w:szCs w:val="22"/>
        </w:rPr>
        <w:t>what</w:t>
      </w:r>
      <w:proofErr w:type="spellEnd"/>
      <w:r>
        <w:rPr>
          <w:rFonts w:ascii="Verdana" w:hAnsi="Verdana" w:cs="Verdana"/>
          <w:color w:val="517082"/>
          <w:sz w:val="22"/>
          <w:szCs w:val="22"/>
        </w:rPr>
        <w:t xml:space="preserve"> place </w:t>
      </w:r>
      <w:proofErr w:type="spellStart"/>
      <w:r>
        <w:rPr>
          <w:rFonts w:ascii="Verdana" w:hAnsi="Verdana" w:cs="Verdana"/>
          <w:color w:val="517082"/>
          <w:sz w:val="22"/>
          <w:szCs w:val="22"/>
        </w:rPr>
        <w:t>should</w:t>
      </w:r>
      <w:proofErr w:type="spellEnd"/>
      <w:r>
        <w:rPr>
          <w:rFonts w:ascii="Verdana" w:hAnsi="Verdana" w:cs="Verdana"/>
          <w:color w:val="517082"/>
          <w:sz w:val="22"/>
          <w:szCs w:val="22"/>
        </w:rPr>
        <w:t xml:space="preserve"> </w:t>
      </w:r>
      <w:proofErr w:type="spellStart"/>
      <w:r>
        <w:rPr>
          <w:rFonts w:ascii="Verdana" w:hAnsi="Verdana" w:cs="Verdana"/>
          <w:color w:val="517082"/>
          <w:sz w:val="22"/>
          <w:szCs w:val="22"/>
        </w:rPr>
        <w:t>be</w:t>
      </w:r>
      <w:proofErr w:type="spellEnd"/>
      <w:r>
        <w:rPr>
          <w:rFonts w:ascii="Verdana" w:hAnsi="Verdana" w:cs="Verdana"/>
          <w:color w:val="517082"/>
          <w:sz w:val="22"/>
          <w:szCs w:val="22"/>
        </w:rPr>
        <w:t xml:space="preserve"> </w:t>
      </w:r>
      <w:proofErr w:type="spellStart"/>
      <w:r>
        <w:rPr>
          <w:rFonts w:ascii="Verdana" w:hAnsi="Verdana" w:cs="Verdana"/>
          <w:color w:val="517082"/>
          <w:sz w:val="22"/>
          <w:szCs w:val="22"/>
        </w:rPr>
        <w:t>given</w:t>
      </w:r>
      <w:proofErr w:type="spellEnd"/>
      <w:r>
        <w:rPr>
          <w:rFonts w:ascii="Verdana" w:hAnsi="Verdana" w:cs="Verdana"/>
          <w:color w:val="517082"/>
          <w:sz w:val="22"/>
          <w:szCs w:val="22"/>
        </w:rPr>
        <w:t xml:space="preserve"> to </w:t>
      </w:r>
      <w:proofErr w:type="spellStart"/>
      <w:r>
        <w:rPr>
          <w:rFonts w:ascii="Verdana" w:hAnsi="Verdana" w:cs="Verdana"/>
          <w:color w:val="517082"/>
          <w:sz w:val="22"/>
          <w:szCs w:val="22"/>
        </w:rPr>
        <w:t>antagonism</w:t>
      </w:r>
      <w:proofErr w:type="spellEnd"/>
      <w:r>
        <w:rPr>
          <w:rFonts w:ascii="Verdana" w:hAnsi="Verdana" w:cs="Verdana"/>
          <w:color w:val="517082"/>
          <w:sz w:val="22"/>
          <w:szCs w:val="22"/>
        </w:rPr>
        <w:t xml:space="preserve"> in </w:t>
      </w:r>
      <w:proofErr w:type="spellStart"/>
      <w:r>
        <w:rPr>
          <w:rFonts w:ascii="Verdana" w:hAnsi="Verdana" w:cs="Verdana"/>
          <w:color w:val="517082"/>
          <w:sz w:val="22"/>
          <w:szCs w:val="22"/>
        </w:rPr>
        <w:t>cosmopolitan</w:t>
      </w:r>
      <w:proofErr w:type="spellEnd"/>
      <w:r>
        <w:rPr>
          <w:rFonts w:ascii="Verdana" w:hAnsi="Verdana" w:cs="Verdana"/>
          <w:color w:val="517082"/>
          <w:sz w:val="22"/>
          <w:szCs w:val="22"/>
        </w:rPr>
        <w:t xml:space="preserve"> </w:t>
      </w:r>
      <w:proofErr w:type="spellStart"/>
      <w:r>
        <w:rPr>
          <w:rFonts w:ascii="Verdana" w:hAnsi="Verdana" w:cs="Verdana"/>
          <w:color w:val="517082"/>
          <w:sz w:val="22"/>
          <w:szCs w:val="22"/>
        </w:rPr>
        <w:t>theory</w:t>
      </w:r>
      <w:proofErr w:type="spellEnd"/>
      <w:r>
        <w:rPr>
          <w:rFonts w:ascii="Verdana" w:hAnsi="Verdana" w:cs="Verdana"/>
          <w:color w:val="517082"/>
          <w:sz w:val="22"/>
          <w:szCs w:val="22"/>
        </w:rPr>
        <w:t xml:space="preserve">, and to </w:t>
      </w:r>
      <w:proofErr w:type="spellStart"/>
      <w:r>
        <w:rPr>
          <w:rFonts w:ascii="Verdana" w:hAnsi="Verdana" w:cs="Verdana"/>
          <w:color w:val="517082"/>
          <w:sz w:val="22"/>
          <w:szCs w:val="22"/>
        </w:rPr>
        <w:t>which</w:t>
      </w:r>
      <w:proofErr w:type="spellEnd"/>
      <w:r>
        <w:rPr>
          <w:rFonts w:ascii="Verdana" w:hAnsi="Verdana" w:cs="Verdana"/>
          <w:color w:val="517082"/>
          <w:sz w:val="22"/>
          <w:szCs w:val="22"/>
        </w:rPr>
        <w:t xml:space="preserve"> </w:t>
      </w:r>
      <w:proofErr w:type="spellStart"/>
      <w:r>
        <w:rPr>
          <w:rFonts w:ascii="Verdana" w:hAnsi="Verdana" w:cs="Verdana"/>
          <w:color w:val="517082"/>
          <w:sz w:val="22"/>
          <w:szCs w:val="22"/>
        </w:rPr>
        <w:t>forms</w:t>
      </w:r>
      <w:proofErr w:type="spellEnd"/>
      <w:r>
        <w:rPr>
          <w:rFonts w:ascii="Verdana" w:hAnsi="Verdana" w:cs="Verdana"/>
          <w:color w:val="517082"/>
          <w:sz w:val="22"/>
          <w:szCs w:val="22"/>
        </w:rPr>
        <w:t xml:space="preserve"> of </w:t>
      </w:r>
      <w:proofErr w:type="spellStart"/>
      <w:r>
        <w:rPr>
          <w:rFonts w:ascii="Verdana" w:hAnsi="Verdana" w:cs="Verdana"/>
          <w:color w:val="517082"/>
          <w:sz w:val="22"/>
          <w:szCs w:val="22"/>
        </w:rPr>
        <w:t>antagonism</w:t>
      </w:r>
      <w:proofErr w:type="spellEnd"/>
      <w:r>
        <w:rPr>
          <w:rFonts w:ascii="Verdana" w:hAnsi="Verdana" w:cs="Verdana"/>
          <w:color w:val="517082"/>
          <w:sz w:val="22"/>
          <w:szCs w:val="22"/>
        </w:rPr>
        <w:t>? ». </w:t>
      </w:r>
    </w:p>
    <w:p w:rsidR="000F4974" w:rsidRDefault="001C207A" w:rsidP="00AA244B">
      <w:pPr>
        <w:jc w:val="both"/>
      </w:pPr>
      <w:r>
        <w:t>L</w:t>
      </w:r>
      <w:r w:rsidR="00FE2EDF">
        <w:t>a lecture anthropologique du conflit proposée depuis une trentaine d’années par le Laboratoire d’anthropologie juridi</w:t>
      </w:r>
      <w:r w:rsidR="00AA244B">
        <w:t>que de Paris</w:t>
      </w:r>
      <w:r w:rsidR="00330A51">
        <w:t xml:space="preserve"> et que j’ai en particulier illustrée dans « </w:t>
      </w:r>
      <w:r w:rsidR="00330A51">
        <w:rPr>
          <w:i/>
        </w:rPr>
        <w:t xml:space="preserve">Le jeu des lois, une anthropologie ‘dynamique’ du droit </w:t>
      </w:r>
      <w:r w:rsidR="00330A51" w:rsidRPr="00330A51">
        <w:t>(Le Roy, 1999)</w:t>
      </w:r>
      <w:r w:rsidR="00091E56">
        <w:t>,</w:t>
      </w:r>
      <w:r w:rsidR="00AA244B" w:rsidRPr="00330A51">
        <w:t xml:space="preserve"> </w:t>
      </w:r>
      <w:r w:rsidR="00AA244B">
        <w:t>partage largement l</w:t>
      </w:r>
      <w:r w:rsidR="00FE2EDF">
        <w:t xml:space="preserve">es questionnements </w:t>
      </w:r>
      <w:r w:rsidR="00AA244B">
        <w:t xml:space="preserve"> de nos collègues de </w:t>
      </w:r>
      <w:proofErr w:type="spellStart"/>
      <w:r w:rsidR="00AA244B">
        <w:t>Leiden</w:t>
      </w:r>
      <w:proofErr w:type="spellEnd"/>
      <w:r w:rsidR="00AA244B">
        <w:t xml:space="preserve"> </w:t>
      </w:r>
      <w:r>
        <w:rPr>
          <w:rFonts w:cs="Verdana"/>
          <w:szCs w:val="22"/>
        </w:rPr>
        <w:t>s</w:t>
      </w:r>
      <w:r w:rsidRPr="00FE2EDF">
        <w:rPr>
          <w:rFonts w:cs="Verdana"/>
          <w:szCs w:val="22"/>
        </w:rPr>
        <w:t xml:space="preserve">ans </w:t>
      </w:r>
      <w:r>
        <w:rPr>
          <w:rFonts w:cs="Verdana"/>
          <w:szCs w:val="22"/>
        </w:rPr>
        <w:t xml:space="preserve">toutefois </w:t>
      </w:r>
      <w:r w:rsidRPr="00FE2EDF">
        <w:rPr>
          <w:rFonts w:cs="Verdana"/>
          <w:szCs w:val="22"/>
        </w:rPr>
        <w:t>recouper</w:t>
      </w:r>
      <w:r>
        <w:t xml:space="preserve"> nécessairement les </w:t>
      </w:r>
      <w:r w:rsidR="00950B85">
        <w:t>postulat</w:t>
      </w:r>
      <w:r>
        <w:t>s philosophiques  des concepteurs du projet</w:t>
      </w:r>
      <w:r w:rsidR="00D62F0A">
        <w:rPr>
          <w:rStyle w:val="Marquenotebasdepage"/>
        </w:rPr>
        <w:footnoteReference w:id="1"/>
      </w:r>
      <w:r>
        <w:t>. Ainsi, dans une perspective d’anthropologie juridique</w:t>
      </w:r>
      <w:r w:rsidR="00B86EDF">
        <w:t>,</w:t>
      </w:r>
      <w:r>
        <w:t xml:space="preserve"> nous nous percevons plus </w:t>
      </w:r>
      <w:r w:rsidR="00AA244B">
        <w:t xml:space="preserve">comme </w:t>
      </w:r>
      <w:r>
        <w:t>pluralistes</w:t>
      </w:r>
      <w:r w:rsidR="00515944">
        <w:t>,</w:t>
      </w:r>
      <w:r>
        <w:t xml:space="preserve"> et pluralistes radicaux</w:t>
      </w:r>
      <w:r w:rsidR="00515944">
        <w:t>,</w:t>
      </w:r>
      <w:r w:rsidR="00376CEB">
        <w:t xml:space="preserve"> (Le Roy, 2003</w:t>
      </w:r>
      <w:r w:rsidR="006B3543">
        <w:t>)</w:t>
      </w:r>
      <w:r>
        <w:t xml:space="preserve"> que </w:t>
      </w:r>
      <w:r w:rsidR="0002306A">
        <w:t xml:space="preserve">comme </w:t>
      </w:r>
      <w:proofErr w:type="spellStart"/>
      <w:r>
        <w:t>cosmopolitistes</w:t>
      </w:r>
      <w:proofErr w:type="spellEnd"/>
      <w:r>
        <w:t xml:space="preserve"> car, pour nous, l’objectif </w:t>
      </w:r>
      <w:proofErr w:type="spellStart"/>
      <w:r>
        <w:t>cosmopolitiste</w:t>
      </w:r>
      <w:proofErr w:type="spellEnd"/>
      <w:r>
        <w:t xml:space="preserve"> est </w:t>
      </w:r>
      <w:r w:rsidR="0002306A">
        <w:t xml:space="preserve">déjà </w:t>
      </w:r>
      <w:r>
        <w:t>inscrit au c</w:t>
      </w:r>
      <w:r>
        <w:rPr>
          <w:rFonts w:ascii="Cambria" w:hAnsi="Cambria"/>
        </w:rPr>
        <w:t>œ</w:t>
      </w:r>
      <w:r>
        <w:t xml:space="preserve">ur du projet </w:t>
      </w:r>
      <w:r w:rsidR="00AA244B">
        <w:t xml:space="preserve"> anthropologique </w:t>
      </w:r>
      <w:r>
        <w:t>depuis le milieu des années cinquan</w:t>
      </w:r>
      <w:r w:rsidR="00330A51">
        <w:t>te (Lévi</w:t>
      </w:r>
      <w:r w:rsidR="00AA244B">
        <w:t>-Strauss, 1958) puis</w:t>
      </w:r>
      <w:r>
        <w:t>que</w:t>
      </w:r>
      <w:r w:rsidR="00E8728B">
        <w:t>, selon une formule de cet auteur,</w:t>
      </w:r>
      <w:r>
        <w:t xml:space="preserve"> nous ambitionnons d’an</w:t>
      </w:r>
      <w:r w:rsidR="00307FAE">
        <w:t>a</w:t>
      </w:r>
      <w:r>
        <w:t>lyser « l</w:t>
      </w:r>
      <w:r w:rsidR="00307FAE">
        <w:t>’</w:t>
      </w:r>
      <w:r>
        <w:t>ensemble du développ</w:t>
      </w:r>
      <w:r w:rsidR="00307FAE">
        <w:t>e</w:t>
      </w:r>
      <w:r w:rsidR="00014C82">
        <w:t>ment humain (…)  </w:t>
      </w:r>
      <w:r>
        <w:t xml:space="preserve">depuis </w:t>
      </w:r>
      <w:r w:rsidR="00330A51">
        <w:t xml:space="preserve">la plus grande ville moderne  </w:t>
      </w:r>
      <w:r>
        <w:t xml:space="preserve">jusqu’à </w:t>
      </w:r>
      <w:r w:rsidR="00330A51">
        <w:t xml:space="preserve">la plus petite tribu mélanésienne </w:t>
      </w:r>
      <w:r w:rsidR="00307FAE">
        <w:t xml:space="preserve">». Simplement, nous signalerons ici que notre anthropologie a </w:t>
      </w:r>
      <w:r w:rsidR="00330A51">
        <w:t>dépassé</w:t>
      </w:r>
      <w:r w:rsidR="00307FAE">
        <w:t xml:space="preserve"> le structuralisme depuis </w:t>
      </w:r>
      <w:r w:rsidR="00603520">
        <w:t>les années 1970</w:t>
      </w:r>
      <w:r w:rsidR="00307FAE">
        <w:t xml:space="preserve"> pour opter pour une anthropologie dynamique</w:t>
      </w:r>
      <w:r w:rsidR="00AA244B">
        <w:t xml:space="preserve"> (Le Roy, 1999) où nous retrouvons nombre de nos collègues américains dont</w:t>
      </w:r>
      <w:r w:rsidR="00376CEB">
        <w:t xml:space="preserve"> Sally Falk Moore (Moore, 1986</w:t>
      </w:r>
      <w:r w:rsidR="00AA244B">
        <w:t xml:space="preserve">). </w:t>
      </w:r>
      <w:r w:rsidR="00307FAE">
        <w:t>Par ailleurs, l’antagonisme</w:t>
      </w:r>
      <w:r w:rsidR="00FE2EDF" w:rsidRPr="00FE2EDF">
        <w:t xml:space="preserve"> </w:t>
      </w:r>
      <w:r w:rsidR="00307FAE">
        <w:t xml:space="preserve">  dans son rapport au droit est approché </w:t>
      </w:r>
      <w:r w:rsidR="00B86EDF">
        <w:t xml:space="preserve"> au LAJP </w:t>
      </w:r>
      <w:r w:rsidR="00307FAE">
        <w:t xml:space="preserve">par une définition  de Michel </w:t>
      </w:r>
      <w:proofErr w:type="spellStart"/>
      <w:r w:rsidR="00307FAE">
        <w:t>Alliot</w:t>
      </w:r>
      <w:proofErr w:type="spellEnd"/>
      <w:r w:rsidR="00307FAE">
        <w:t>, reconnue comme cardinale par les anthropologues du droit </w:t>
      </w:r>
      <w:r w:rsidR="00603520">
        <w:t xml:space="preserve"> de « l ‘école de Paris1-Sorbonne » </w:t>
      </w:r>
      <w:r w:rsidR="00307FAE">
        <w:t>: «  le droit est mise en forme des luttes et consensus sur le résultat des luttes</w:t>
      </w:r>
      <w:r w:rsidR="00BA04EF">
        <w:t> » (</w:t>
      </w:r>
      <w:proofErr w:type="spellStart"/>
      <w:r w:rsidR="00BA04EF">
        <w:t>Alliot</w:t>
      </w:r>
      <w:proofErr w:type="spellEnd"/>
      <w:r w:rsidR="00BA04EF">
        <w:t>, 2003</w:t>
      </w:r>
      <w:r w:rsidR="00AA244B">
        <w:t>).</w:t>
      </w:r>
      <w:r w:rsidR="00541B6F">
        <w:t xml:space="preserve"> </w:t>
      </w:r>
      <w:r w:rsidR="000F4974">
        <w:t xml:space="preserve"> </w:t>
      </w:r>
    </w:p>
    <w:p w:rsidR="00F0738C" w:rsidRDefault="000F4974" w:rsidP="00AA244B">
      <w:pPr>
        <w:jc w:val="both"/>
      </w:pPr>
      <w:r>
        <w:t>La question est donc de savoir si l</w:t>
      </w:r>
      <w:r w:rsidR="00D62F0A">
        <w:t xml:space="preserve">’antagonisme et la lutte </w:t>
      </w:r>
      <w:r>
        <w:t>sont des homologues</w:t>
      </w:r>
      <w:r w:rsidR="00B83538">
        <w:t xml:space="preserve"> puis de savoir comment mobiliser ces deux notions dans la fond</w:t>
      </w:r>
      <w:r w:rsidR="00D517D1">
        <w:t>ation d’une théorie de la société</w:t>
      </w:r>
      <w:r w:rsidR="00E8728B">
        <w:t xml:space="preserve"> et  de sa bonne gouvernance démocratique.</w:t>
      </w:r>
      <w:r w:rsidR="0015140D">
        <w:t xml:space="preserve"> Je formulerai à ce propos trois remarques préliminaires.</w:t>
      </w:r>
    </w:p>
    <w:p w:rsidR="00F0738C" w:rsidRDefault="000F4974" w:rsidP="00AA244B">
      <w:pPr>
        <w:jc w:val="both"/>
      </w:pPr>
      <w:r>
        <w:t xml:space="preserve"> </w:t>
      </w:r>
      <w:r w:rsidR="00F0738C">
        <w:t xml:space="preserve">- </w:t>
      </w:r>
      <w:r>
        <w:t>Première remarque</w:t>
      </w:r>
      <w:r w:rsidR="0015140D">
        <w:t>,</w:t>
      </w:r>
      <w:r>
        <w:t xml:space="preserve"> la notion de lutte est abordé</w:t>
      </w:r>
      <w:r w:rsidR="00E8728B">
        <w:t>e</w:t>
      </w:r>
      <w:r>
        <w:t xml:space="preserve"> dans une perspective séquentielle</w:t>
      </w:r>
      <w:r w:rsidR="0015140D">
        <w:t xml:space="preserve"> et dynamique</w:t>
      </w:r>
      <w:r>
        <w:t>. D</w:t>
      </w:r>
      <w:r w:rsidR="00B86EDF">
        <w:t xml:space="preserve">ans le </w:t>
      </w:r>
      <w:r w:rsidR="00B86EDF" w:rsidRPr="00B86EDF">
        <w:rPr>
          <w:i/>
        </w:rPr>
        <w:t>D</w:t>
      </w:r>
      <w:r w:rsidR="0002306A" w:rsidRPr="00B86EDF">
        <w:rPr>
          <w:i/>
        </w:rPr>
        <w:t>ictionnaire de la Justice</w:t>
      </w:r>
      <w:r w:rsidR="0002306A">
        <w:t xml:space="preserve"> (Le Roy, 200</w:t>
      </w:r>
      <w:r w:rsidR="00B86EDF">
        <w:t>4)</w:t>
      </w:r>
      <w:r w:rsidR="0002306A">
        <w:t xml:space="preserve">, </w:t>
      </w:r>
      <w:r w:rsidR="00460962">
        <w:t>et dans la lignée de nombreux travaux af</w:t>
      </w:r>
      <w:r w:rsidR="0015140D">
        <w:t>r</w:t>
      </w:r>
      <w:r w:rsidR="00460962">
        <w:t xml:space="preserve">icanistes et américanistes, </w:t>
      </w:r>
      <w:r w:rsidR="0002306A">
        <w:t xml:space="preserve">je mets </w:t>
      </w:r>
      <w:r w:rsidR="00D62F0A">
        <w:t xml:space="preserve"> l’accent de manière plus  large sur</w:t>
      </w:r>
      <w:r w:rsidR="00515944">
        <w:t xml:space="preserve"> </w:t>
      </w:r>
      <w:r>
        <w:t>une séquence de transformation</w:t>
      </w:r>
      <w:r w:rsidR="00024793">
        <w:t>s</w:t>
      </w:r>
      <w:r>
        <w:t xml:space="preserve"> successives des luttes : ce sont initialement des problèmes qui deviennent une</w:t>
      </w:r>
      <w:r w:rsidR="00515944">
        <w:t xml:space="preserve"> tension qui conduit au </w:t>
      </w:r>
      <w:r w:rsidR="00D62F0A">
        <w:t xml:space="preserve"> différend </w:t>
      </w:r>
      <w:r w:rsidR="00515944">
        <w:t xml:space="preserve">qui dégénère  en </w:t>
      </w:r>
      <w:r w:rsidR="00D62F0A">
        <w:t xml:space="preserve"> conflit et que le litige appartient pour nous au langage judiciaire</w:t>
      </w:r>
      <w:r w:rsidR="00794205">
        <w:t>.</w:t>
      </w:r>
    </w:p>
    <w:p w:rsidR="00655E66" w:rsidRDefault="00F0738C" w:rsidP="00AA244B">
      <w:pPr>
        <w:jc w:val="both"/>
      </w:pPr>
      <w:r>
        <w:t>- Deuxième remarque, le vocabulaire grec ayant présidé à l’usage actuel du terme antagonisme</w:t>
      </w:r>
      <w:r w:rsidR="00794205">
        <w:t xml:space="preserve"> </w:t>
      </w:r>
      <w:r>
        <w:t xml:space="preserve">a une fonction de socialisation. Il </w:t>
      </w:r>
      <w:r w:rsidR="00655E66">
        <w:t>exprime une mise</w:t>
      </w:r>
      <w:r>
        <w:t xml:space="preserve"> en relation avant d’indiquer une opposition. </w:t>
      </w:r>
      <w:r w:rsidR="009B16A4">
        <w:t>On n’oubliera</w:t>
      </w:r>
      <w:r w:rsidR="0002306A">
        <w:rPr>
          <w:rStyle w:val="Marquenotebasdepage"/>
        </w:rPr>
        <w:footnoteReference w:id="2"/>
      </w:r>
      <w:r w:rsidR="009B16A4">
        <w:t xml:space="preserve"> pas que le grec </w:t>
      </w:r>
      <w:r w:rsidR="001B6FD7">
        <w:sym w:font="Symbol" w:char="F061"/>
      </w:r>
      <w:r w:rsidR="001B6FD7">
        <w:sym w:font="Symbol" w:char="F067"/>
      </w:r>
      <w:r w:rsidR="001B6FD7">
        <w:sym w:font="Symbol" w:char="F077"/>
      </w:r>
      <w:r w:rsidR="001B6FD7">
        <w:sym w:font="Symbol" w:char="F06E"/>
      </w:r>
      <w:r w:rsidR="001B6FD7">
        <w:t xml:space="preserve"> (</w:t>
      </w:r>
      <w:proofErr w:type="spellStart"/>
      <w:r w:rsidR="001B6FD7">
        <w:t>agon</w:t>
      </w:r>
      <w:proofErr w:type="spellEnd"/>
      <w:r w:rsidR="001B6FD7">
        <w:t>) ne désigne, selon mon dictionnaire « la lutte, le combat , l’action militaire puis le procès judiciaire</w:t>
      </w:r>
      <w:r w:rsidR="0002306A">
        <w:t> »</w:t>
      </w:r>
      <w:r w:rsidR="001B6FD7">
        <w:t>  qu’au sens III  et que ses sens I et II sont respectivement l’assemblée ou la réunion et, d’autre part, l’a</w:t>
      </w:r>
      <w:r w:rsidR="0002306A">
        <w:t xml:space="preserve">ssemblée pour les jeux publics </w:t>
      </w:r>
      <w:r w:rsidR="00484A01">
        <w:t>(Bailly, 1950</w:t>
      </w:r>
      <w:r w:rsidR="001B6FD7">
        <w:t xml:space="preserve">, p. 21). </w:t>
      </w:r>
      <w:r w:rsidR="0002306A">
        <w:t xml:space="preserve"> Par ailleurs </w:t>
      </w:r>
      <w:r w:rsidR="0002306A">
        <w:sym w:font="Symbol" w:char="F061"/>
      </w:r>
      <w:r w:rsidR="0002306A">
        <w:sym w:font="Symbol" w:char="F06E"/>
      </w:r>
      <w:r w:rsidR="0002306A">
        <w:sym w:font="Symbol" w:char="F074"/>
      </w:r>
      <w:r w:rsidR="0002306A">
        <w:sym w:font="Symbol" w:char="F061"/>
      </w:r>
      <w:r w:rsidR="0002306A">
        <w:sym w:font="Symbol" w:char="F067"/>
      </w:r>
      <w:r w:rsidR="0002306A">
        <w:sym w:font="Symbol" w:char="F077"/>
      </w:r>
      <w:r w:rsidR="0002306A">
        <w:sym w:font="Symbol" w:char="F06E"/>
      </w:r>
      <w:r w:rsidR="0002306A">
        <w:sym w:font="Symbol" w:char="F069"/>
      </w:r>
      <w:r w:rsidR="0002306A">
        <w:sym w:font="Symbol" w:char="F073"/>
      </w:r>
      <w:r w:rsidR="0002306A">
        <w:sym w:font="Symbol" w:char="F06D"/>
      </w:r>
      <w:r w:rsidR="0002306A">
        <w:sym w:font="Symbol" w:char="F061"/>
      </w:r>
      <w:r w:rsidR="0002306A">
        <w:t xml:space="preserve"> (</w:t>
      </w:r>
      <w:proofErr w:type="spellStart"/>
      <w:r w:rsidR="0002306A">
        <w:t>antagonisma</w:t>
      </w:r>
      <w:proofErr w:type="spellEnd"/>
      <w:r w:rsidR="0002306A">
        <w:t xml:space="preserve">) est un terme </w:t>
      </w:r>
      <w:r w:rsidR="00460962">
        <w:t xml:space="preserve">d’usage plutôt </w:t>
      </w:r>
      <w:r w:rsidR="0002306A">
        <w:t xml:space="preserve">rare qui désigne globalement </w:t>
      </w:r>
      <w:r>
        <w:t>« </w:t>
      </w:r>
      <w:r w:rsidR="0002306A">
        <w:t>l’émulation</w:t>
      </w:r>
      <w:r>
        <w:t> »</w:t>
      </w:r>
      <w:r w:rsidR="0002306A">
        <w:t xml:space="preserve"> (ibidem)</w:t>
      </w:r>
      <w:r>
        <w:t>, donc le sens du jeu et du concours</w:t>
      </w:r>
      <w:r w:rsidR="0002306A">
        <w:t xml:space="preserve"> et</w:t>
      </w:r>
      <w:r w:rsidR="00515944">
        <w:t>,</w:t>
      </w:r>
      <w:r w:rsidR="0002306A">
        <w:t xml:space="preserve"> </w:t>
      </w:r>
      <w:r w:rsidR="00603520">
        <w:t>sous la forme adjective</w:t>
      </w:r>
      <w:r w:rsidR="00515944">
        <w:t>,</w:t>
      </w:r>
      <w:r w:rsidR="0002306A">
        <w:t xml:space="preserve"> ce qui est débattu ou disputé.</w:t>
      </w:r>
      <w:r w:rsidR="00515944">
        <w:t xml:space="preserve"> En introduisant ces précisions, j’insiste sur le fait que </w:t>
      </w:r>
      <w:r w:rsidR="00D4365A">
        <w:t>le travail sur  l</w:t>
      </w:r>
      <w:r w:rsidR="00515944">
        <w:t>es concepts,</w:t>
      </w:r>
      <w:r w:rsidR="00D4365A">
        <w:t xml:space="preserve"> leur histoire et leurs connotations est un préalable à notre pratique ethnologique </w:t>
      </w:r>
      <w:r w:rsidR="00515944">
        <w:t xml:space="preserve"> d’approcher des situations dans lesquelles les </w:t>
      </w:r>
      <w:r w:rsidR="000F4974">
        <w:t xml:space="preserve">individus </w:t>
      </w:r>
      <w:r w:rsidR="00515944">
        <w:t>se disent et se révèlent</w:t>
      </w:r>
      <w:r w:rsidR="000F4974">
        <w:t xml:space="preserve"> dans leur identité singulière comme le faisait remarquer Marcel Mauss dans sa conclusion sur « l’Essai sur le don »</w:t>
      </w:r>
      <w:r w:rsidR="00B97F98">
        <w:t xml:space="preserve"> (Mauss, 1960)</w:t>
      </w:r>
      <w:r w:rsidR="00154F2B">
        <w:t xml:space="preserve"> récemment commentée (Le Roy, 2013)</w:t>
      </w:r>
      <w:r w:rsidR="000F4974">
        <w:t>.</w:t>
      </w:r>
      <w:r>
        <w:t xml:space="preserve"> Ainsi, </w:t>
      </w:r>
      <w:r w:rsidR="00655E66">
        <w:t xml:space="preserve">pour nous anthropologues, l’idée que nous retenons de </w:t>
      </w:r>
      <w:r w:rsidR="00484A01">
        <w:t>la sémantique</w:t>
      </w:r>
      <w:r w:rsidR="00655E66">
        <w:t xml:space="preserve"> de </w:t>
      </w:r>
      <w:r w:rsidR="00B936B2">
        <w:t>l’</w:t>
      </w:r>
      <w:proofErr w:type="spellStart"/>
      <w:r w:rsidR="00B936B2">
        <w:t>agon/agonisme</w:t>
      </w:r>
      <w:proofErr w:type="spellEnd"/>
      <w:r w:rsidR="00655E66">
        <w:t xml:space="preserve"> est que sa fonction est de « </w:t>
      </w:r>
      <w:r>
        <w:t>faire société</w:t>
      </w:r>
      <w:r w:rsidR="00655E66">
        <w:t> »</w:t>
      </w:r>
      <w:r w:rsidR="00B936B2">
        <w:t>, que l’</w:t>
      </w:r>
      <w:proofErr w:type="spellStart"/>
      <w:r w:rsidR="00B936B2">
        <w:t>anta/gonisme</w:t>
      </w:r>
      <w:proofErr w:type="spellEnd"/>
      <w:r w:rsidR="00B936B2">
        <w:t xml:space="preserve"> n’en est qu’une forme dérivée</w:t>
      </w:r>
      <w:r w:rsidR="00655E66">
        <w:t xml:space="preserve"> </w:t>
      </w:r>
      <w:r w:rsidR="00B936B2">
        <w:t>qui n’autorise pas à considérer que « </w:t>
      </w:r>
      <w:r w:rsidR="00D4365A">
        <w:t>faire opposition</w:t>
      </w:r>
      <w:r w:rsidR="00B936B2">
        <w:t> »</w:t>
      </w:r>
      <w:r w:rsidR="00D4365A">
        <w:t xml:space="preserve">, </w:t>
      </w:r>
      <w:r w:rsidR="00B936B2">
        <w:t xml:space="preserve">ou </w:t>
      </w:r>
      <w:r w:rsidR="00D4365A">
        <w:t xml:space="preserve"> </w:t>
      </w:r>
      <w:r w:rsidR="00B936B2">
        <w:t>« </w:t>
      </w:r>
      <w:r w:rsidR="00D4365A">
        <w:t xml:space="preserve">provoquer des </w:t>
      </w:r>
      <w:r w:rsidR="00655E66">
        <w:t>confrontations</w:t>
      </w:r>
      <w:r w:rsidR="00484A01">
        <w:t> » en sont s</w:t>
      </w:r>
      <w:r w:rsidR="00B936B2">
        <w:t>es expressions cardinales</w:t>
      </w:r>
      <w:r w:rsidR="00484A01">
        <w:t xml:space="preserve"> originelles</w:t>
      </w:r>
      <w:r w:rsidR="00B936B2">
        <w:t>, même si le conflit</w:t>
      </w:r>
      <w:r w:rsidR="00655E66">
        <w:t xml:space="preserve"> </w:t>
      </w:r>
      <w:r w:rsidR="00B936B2">
        <w:t>est une des dimensions</w:t>
      </w:r>
      <w:r w:rsidR="00655E66">
        <w:t xml:space="preserve"> des </w:t>
      </w:r>
      <w:r w:rsidR="00530123">
        <w:t>rapports sociaux</w:t>
      </w:r>
      <w:r w:rsidR="004A1BFE">
        <w:t xml:space="preserve"> sur lesquelles je vais </w:t>
      </w:r>
      <w:r w:rsidR="00B97F98">
        <w:t xml:space="preserve">y </w:t>
      </w:r>
      <w:r w:rsidR="004A1BFE">
        <w:t>revenir</w:t>
      </w:r>
      <w:r w:rsidR="00655E66">
        <w:t xml:space="preserve">, </w:t>
      </w:r>
      <w:r w:rsidR="00B97F98">
        <w:t xml:space="preserve">et ce </w:t>
      </w:r>
      <w:r w:rsidR="00655E66">
        <w:t>dans toutes les sociétés et, pour nous, à tous les moments de l’histoire.</w:t>
      </w:r>
    </w:p>
    <w:p w:rsidR="001B49F0" w:rsidRDefault="00655E66" w:rsidP="00AA244B">
      <w:pPr>
        <w:jc w:val="both"/>
      </w:pPr>
      <w:r>
        <w:t xml:space="preserve">- Troisième remarque, la définition précédente de Michel </w:t>
      </w:r>
      <w:proofErr w:type="spellStart"/>
      <w:r>
        <w:t>Alliot</w:t>
      </w:r>
      <w:proofErr w:type="spellEnd"/>
      <w:r>
        <w:t xml:space="preserve"> ne s’applique plus seulement au droit  mais à un processus plus complexe et d’application plus générale, la juridicité.  Le droit, entendu dans nos sociétés occidentales comme le monopole de l’Etat et généralement approché comme « droit positif », n’est plus considéré que comme un </w:t>
      </w:r>
      <w:r w:rsidRPr="00655E66">
        <w:rPr>
          <w:i/>
        </w:rPr>
        <w:t>folk system</w:t>
      </w:r>
      <w:r>
        <w:t>, sans doute d’une extraordinaire efficacité dans le contexte de la présente mondialisation, mais qui ne peut épuiser l’ensemble des expériences passées et présentes, et sans doute futures, des sociétés humaines.</w:t>
      </w:r>
    </w:p>
    <w:p w:rsidR="001B49F0" w:rsidRDefault="001B49F0" w:rsidP="00AA244B">
      <w:pPr>
        <w:jc w:val="both"/>
      </w:pPr>
      <w:r>
        <w:t>Pour rendre compte de l’état d’avancement de notre réflexion, je vais reprendre les dix postulats que j’exploite dans le cadre d’un enseignement  du diplôme universitaire «  Gestion des conflits : médiation et négociation » de l’Université René Descartes Paris V. Puis j’en proposera</w:t>
      </w:r>
      <w:r w:rsidR="00603520">
        <w:t>i</w:t>
      </w:r>
      <w:r>
        <w:t xml:space="preserve"> quelques commentaires qui seront développés selon le temps disponible.</w:t>
      </w:r>
    </w:p>
    <w:p w:rsidR="001B49F0" w:rsidRPr="001B49F0" w:rsidRDefault="00B264CB" w:rsidP="00AA244B">
      <w:pPr>
        <w:jc w:val="both"/>
        <w:rPr>
          <w:b/>
          <w:sz w:val="32"/>
        </w:rPr>
      </w:pPr>
      <w:r>
        <w:rPr>
          <w:b/>
          <w:sz w:val="32"/>
        </w:rPr>
        <w:t>Dix postulats de la régula</w:t>
      </w:r>
      <w:r w:rsidR="001B49F0" w:rsidRPr="001B49F0">
        <w:rPr>
          <w:b/>
          <w:sz w:val="32"/>
        </w:rPr>
        <w:t>tion des conflits selon une anthropologie de la juridicité</w:t>
      </w:r>
    </w:p>
    <w:p w:rsidR="007C00BF" w:rsidRPr="007C00BF" w:rsidRDefault="001B49F0" w:rsidP="00D00926">
      <w:pPr>
        <w:jc w:val="both"/>
        <w:rPr>
          <w:rFonts w:ascii="Calibri" w:hAnsi="Calibri" w:cs="Calibri"/>
          <w:i/>
        </w:rPr>
      </w:pPr>
      <w:r>
        <w:rPr>
          <w:b/>
        </w:rPr>
        <w:t>Premier postulat</w:t>
      </w:r>
      <w:r>
        <w:t xml:space="preserve"> </w:t>
      </w:r>
      <w:r w:rsidRPr="00EA3B3F">
        <w:rPr>
          <w:b/>
          <w:i/>
        </w:rPr>
        <w:t>Le conflit est premier</w:t>
      </w:r>
      <w:r>
        <w:t xml:space="preserve"> </w:t>
      </w:r>
      <w:r w:rsidR="00CB2AAE">
        <w:t xml:space="preserve">dans l’histoire d’une société, </w:t>
      </w:r>
      <w:r>
        <w:t>à la fois parce qu’il est associé au mouvement, donc à la vie</w:t>
      </w:r>
      <w:r w:rsidR="00EA3B3F">
        <w:t xml:space="preserve"> </w:t>
      </w:r>
      <w:r w:rsidR="00D00926">
        <w:t xml:space="preserve">dans son rapport à la </w:t>
      </w:r>
      <w:r w:rsidR="00EA3B3F">
        <w:t>mort,</w:t>
      </w:r>
      <w:r>
        <w:t xml:space="preserve"> mais aussi parce que tous les mythes de fondation y associent un moment déterminant dans l’émergence de ce qui va faire société. </w:t>
      </w:r>
      <w:r w:rsidR="007C00BF" w:rsidRPr="007C00BF">
        <w:rPr>
          <w:i/>
        </w:rPr>
        <w:t>« </w:t>
      </w:r>
      <w:r w:rsidR="007C00BF" w:rsidRPr="007C00BF">
        <w:rPr>
          <w:rFonts w:ascii="Calibri" w:hAnsi="Calibri" w:cs="Calibri"/>
          <w:i/>
        </w:rPr>
        <w:t xml:space="preserve">Comme dans la copulation indéfinie de Gaïa et d’Ouranos qui n’en finissent pas de concevoir ce qui n’a pas même d’essence, comme dans cette autre copulation indéfinie de Siva dans le corps de Parvati la montagne, le monde se conçoit hors de toute mesure, de toute volonté, de tout projet. Le monde qui émerge est animé par l’intensité d’une ardeur qui jaillit de lui-même, ne va nulle part et ne sait rien d’elle. </w:t>
      </w:r>
    </w:p>
    <w:p w:rsidR="00EA3B3F" w:rsidRDefault="007C00BF" w:rsidP="007C00BF">
      <w:pPr>
        <w:jc w:val="both"/>
      </w:pPr>
      <w:r w:rsidRPr="007C00BF">
        <w:rPr>
          <w:rFonts w:ascii="Calibri" w:hAnsi="Calibri" w:cs="Calibri"/>
          <w:i/>
        </w:rPr>
        <w:t>Et puis soudain Chronos coupe les couilles de son père Ouranos et les lance dans l’océan ; Adam et Ève croquent le fruit défendu de la connaissance ; Siva assassine Brahman de qui tout procède. Par le geste transgressif qui rompt l’ordonnancement parfait du cours des choses, un instant surgit d’on ne sait où, fait exister le monde et celui-ci adopte le temps comme l’un de ses attributs </w:t>
      </w:r>
      <w:r>
        <w:rPr>
          <w:rFonts w:ascii="Calibri" w:hAnsi="Calibri" w:cs="Calibri"/>
        </w:rPr>
        <w:t>»</w:t>
      </w:r>
      <w:r w:rsidRPr="00463381">
        <w:rPr>
          <w:rFonts w:ascii="Calibri" w:hAnsi="Calibri" w:cs="Calibri"/>
        </w:rPr>
        <w:t>.</w:t>
      </w:r>
      <w:r>
        <w:rPr>
          <w:rFonts w:ascii="Calibri" w:hAnsi="Calibri" w:cs="Calibri"/>
        </w:rPr>
        <w:t xml:space="preserve"> (Hatzfeld, à paraître)</w:t>
      </w:r>
    </w:p>
    <w:p w:rsidR="001B49F0" w:rsidRDefault="00EA3B3F" w:rsidP="00AA244B">
      <w:pPr>
        <w:jc w:val="both"/>
      </w:pPr>
      <w:r>
        <w:t>Le conflit est le facteur tiers entre ordre et dés</w:t>
      </w:r>
      <w:r w:rsidR="00E47045">
        <w:t>ordre, à la fois déstabilisant l</w:t>
      </w:r>
      <w:r>
        <w:t xml:space="preserve">es solutions </w:t>
      </w:r>
      <w:r w:rsidR="00603520">
        <w:t>s</w:t>
      </w:r>
      <w:r>
        <w:t>emblant acquises</w:t>
      </w:r>
      <w:r w:rsidR="0079552C">
        <w:t xml:space="preserve"> que certains désirent pérenniser</w:t>
      </w:r>
      <w:r>
        <w:t xml:space="preserve"> et produisant un ordre neuf, intégrant les contraintes nouvelles</w:t>
      </w:r>
      <w:r w:rsidR="0079552C">
        <w:t xml:space="preserve"> que d’autres souhaitent </w:t>
      </w:r>
      <w:r w:rsidR="005B18E0">
        <w:t xml:space="preserve">faire </w:t>
      </w:r>
      <w:r w:rsidR="00B264CB">
        <w:t>reconnaître</w:t>
      </w:r>
      <w:r>
        <w:t xml:space="preserve">. </w:t>
      </w:r>
    </w:p>
    <w:p w:rsidR="00EA3B3F" w:rsidRDefault="001B49F0" w:rsidP="00AA244B">
      <w:pPr>
        <w:jc w:val="both"/>
      </w:pPr>
      <w:r w:rsidRPr="00EA3B3F">
        <w:rPr>
          <w:b/>
        </w:rPr>
        <w:t>Deuxième postulat </w:t>
      </w:r>
      <w:r>
        <w:t xml:space="preserve">: </w:t>
      </w:r>
      <w:r w:rsidRPr="00EA3B3F">
        <w:rPr>
          <w:b/>
          <w:i/>
        </w:rPr>
        <w:t>Toute société est complexe</w:t>
      </w:r>
      <w:r w:rsidR="00EA3B3F">
        <w:t xml:space="preserve"> et chacune diffère des autres par la contribution reconnue aux  conflits, plus ou moins niés, plus ou moins exploités. La complexité suppose incertitude, instabilité et récursivité. La complexité contemporaine peut être qualifiée de « </w:t>
      </w:r>
      <w:proofErr w:type="spellStart"/>
      <w:r w:rsidR="00EA3B3F">
        <w:t>transmoderne</w:t>
      </w:r>
      <w:proofErr w:type="spellEnd"/>
      <w:r w:rsidR="00EA3B3F">
        <w:t xml:space="preserve"> », intégrant donc tant la </w:t>
      </w:r>
      <w:proofErr w:type="spellStart"/>
      <w:r w:rsidR="00EA3B3F">
        <w:t>prémodernité</w:t>
      </w:r>
      <w:proofErr w:type="spellEnd"/>
      <w:r w:rsidR="00EA3B3F">
        <w:t xml:space="preserve"> que la postmodernité et leurs outillages spécifiques de gestion des conflits. C’est une des raisons de l’émergence</w:t>
      </w:r>
      <w:r w:rsidR="00B264CB">
        <w:t>, à côté de la justice,</w:t>
      </w:r>
      <w:r w:rsidR="00EA3B3F">
        <w:t xml:space="preserve"> de la médiation, mode </w:t>
      </w:r>
      <w:proofErr w:type="spellStart"/>
      <w:r w:rsidR="00EA3B3F">
        <w:t>prémoderne</w:t>
      </w:r>
      <w:proofErr w:type="spellEnd"/>
      <w:r w:rsidR="00EA3B3F">
        <w:t xml:space="preserve"> co</w:t>
      </w:r>
      <w:r w:rsidR="00603520">
        <w:t>n</w:t>
      </w:r>
      <w:r w:rsidR="0079552C">
        <w:t>nu comme « palabre » en Afrique</w:t>
      </w:r>
      <w:r w:rsidR="00EA3B3F">
        <w:t xml:space="preserve">, dans les sociétés occidentales depuis près de trente ans. </w:t>
      </w:r>
      <w:r w:rsidR="00CD20C6">
        <w:t xml:space="preserve"> L’expérience de chaque société repose sur un ordonnancement original de ses modes de régulation.</w:t>
      </w:r>
      <w:r w:rsidR="00603520">
        <w:t xml:space="preserve"> En Occident, le conflit  est dévalorisé car assimilé au désordre.</w:t>
      </w:r>
    </w:p>
    <w:p w:rsidR="00CD20C6" w:rsidRDefault="00EA3B3F" w:rsidP="00AA244B">
      <w:pPr>
        <w:jc w:val="both"/>
      </w:pPr>
      <w:r w:rsidRPr="00CD20C6">
        <w:rPr>
          <w:b/>
        </w:rPr>
        <w:t xml:space="preserve">Troisième postulat : </w:t>
      </w:r>
      <w:r w:rsidRPr="00CD20C6">
        <w:rPr>
          <w:b/>
          <w:i/>
        </w:rPr>
        <w:t>Toute société peut être organisée selon quatre ordonnancements</w:t>
      </w:r>
      <w:r w:rsidR="00CD20C6" w:rsidRPr="00CD20C6">
        <w:rPr>
          <w:b/>
          <w:i/>
        </w:rPr>
        <w:t xml:space="preserve"> qui sont</w:t>
      </w:r>
      <w:r w:rsidR="00CD20C6">
        <w:rPr>
          <w:b/>
          <w:i/>
        </w:rPr>
        <w:t xml:space="preserve"> dits</w:t>
      </w:r>
      <w:r w:rsidR="00CD20C6" w:rsidRPr="00CD20C6">
        <w:rPr>
          <w:b/>
          <w:i/>
        </w:rPr>
        <w:t xml:space="preserve"> imposé</w:t>
      </w:r>
      <w:r w:rsidR="00CD20C6">
        <w:rPr>
          <w:b/>
          <w:i/>
        </w:rPr>
        <w:t>s</w:t>
      </w:r>
      <w:r w:rsidR="00CD20C6" w:rsidRPr="00CD20C6">
        <w:rPr>
          <w:b/>
          <w:i/>
        </w:rPr>
        <w:t>, négocié</w:t>
      </w:r>
      <w:r w:rsidR="00CD20C6">
        <w:rPr>
          <w:b/>
          <w:i/>
        </w:rPr>
        <w:t>s</w:t>
      </w:r>
      <w:r w:rsidR="00CD20C6" w:rsidRPr="00CD20C6">
        <w:rPr>
          <w:b/>
          <w:i/>
        </w:rPr>
        <w:t>, accepté</w:t>
      </w:r>
      <w:r w:rsidR="00CD20C6">
        <w:rPr>
          <w:b/>
          <w:i/>
        </w:rPr>
        <w:t>s</w:t>
      </w:r>
      <w:r w:rsidR="00CD20C6" w:rsidRPr="00CD20C6">
        <w:rPr>
          <w:b/>
          <w:i/>
        </w:rPr>
        <w:t xml:space="preserve"> et contesté</w:t>
      </w:r>
      <w:r w:rsidR="00CD20C6">
        <w:rPr>
          <w:b/>
          <w:i/>
        </w:rPr>
        <w:t>s</w:t>
      </w:r>
      <w:r w:rsidR="00CD20C6">
        <w:t>. Chaque tradition a tendance à en privilégier un. C’est l’ordonnancement imposé qui est au c</w:t>
      </w:r>
      <w:r w:rsidR="00CD20C6">
        <w:rPr>
          <w:rFonts w:ascii="Cambria" w:hAnsi="Cambria"/>
        </w:rPr>
        <w:t>œ</w:t>
      </w:r>
      <w:r w:rsidR="00CD20C6">
        <w:t>ur du projet de société occidentale depuis le Livre de la Genèse de la Bible</w:t>
      </w:r>
      <w:r w:rsidR="00B264CB">
        <w:t xml:space="preserve"> alors que c’est l’ordonnancement négocié qui prime dans les sociétés communautaires</w:t>
      </w:r>
      <w:r w:rsidR="00CD20C6">
        <w:t>.</w:t>
      </w:r>
      <w:r w:rsidR="00BC5F70">
        <w:t xml:space="preserve"> Mais chaque société doit accepter de voir cohabiter en son sein  des ordonnancements tantôt contraires</w:t>
      </w:r>
      <w:r w:rsidR="0079552C">
        <w:t>,</w:t>
      </w:r>
      <w:r w:rsidR="00BC5F70">
        <w:t xml:space="preserve"> donc en lutte ouverte, tantôt  rendus complémentaires et caractéristiques de sociétés civilisées</w:t>
      </w:r>
      <w:r w:rsidR="0079552C">
        <w:t xml:space="preserve"> (</w:t>
      </w:r>
      <w:r w:rsidR="00790E40">
        <w:t>au sens strict</w:t>
      </w:r>
      <w:r w:rsidR="00CB2AAE">
        <w:t xml:space="preserve"> </w:t>
      </w:r>
      <w:r w:rsidR="00603520">
        <w:t xml:space="preserve">d’organisées </w:t>
      </w:r>
      <w:r w:rsidR="00CB2AAE">
        <w:t>et no</w:t>
      </w:r>
      <w:r w:rsidR="00603520">
        <w:t>n</w:t>
      </w:r>
      <w:r w:rsidR="00CB2AAE">
        <w:t xml:space="preserve"> par assimilation aux sociétés occi</w:t>
      </w:r>
      <w:r w:rsidR="00603520">
        <w:t>d</w:t>
      </w:r>
      <w:r w:rsidR="00CB2AAE">
        <w:t>entales)</w:t>
      </w:r>
      <w:r w:rsidR="00BC5F70">
        <w:t>.</w:t>
      </w:r>
    </w:p>
    <w:p w:rsidR="0002450C" w:rsidRPr="006C312F" w:rsidRDefault="00CD20C6" w:rsidP="00AA244B">
      <w:pPr>
        <w:jc w:val="both"/>
        <w:rPr>
          <w:b/>
          <w:i/>
        </w:rPr>
      </w:pPr>
      <w:r w:rsidRPr="00BC5F70">
        <w:rPr>
          <w:b/>
        </w:rPr>
        <w:t>Quatrième postulat </w:t>
      </w:r>
      <w:r w:rsidR="00BC5F70">
        <w:rPr>
          <w:b/>
          <w:i/>
        </w:rPr>
        <w:t xml:space="preserve">: </w:t>
      </w:r>
      <w:r w:rsidRPr="00BC5F70">
        <w:rPr>
          <w:b/>
          <w:i/>
        </w:rPr>
        <w:t>Le droit est l’expression de visions du monde</w:t>
      </w:r>
      <w:r w:rsidR="00BC5F70" w:rsidRPr="00BC5F70">
        <w:rPr>
          <w:b/>
          <w:i/>
        </w:rPr>
        <w:t> :</w:t>
      </w:r>
      <w:r w:rsidR="00EF09FE">
        <w:rPr>
          <w:b/>
          <w:i/>
        </w:rPr>
        <w:t xml:space="preserve"> </w:t>
      </w:r>
      <w:r w:rsidRPr="00BC5F70">
        <w:rPr>
          <w:b/>
          <w:i/>
        </w:rPr>
        <w:t>« Dis</w:t>
      </w:r>
      <w:r w:rsidR="00BC5F70" w:rsidRPr="00BC5F70">
        <w:rPr>
          <w:b/>
          <w:i/>
        </w:rPr>
        <w:t>-</w:t>
      </w:r>
      <w:r w:rsidRPr="00BC5F70">
        <w:rPr>
          <w:b/>
          <w:i/>
        </w:rPr>
        <w:t>moi comme</w:t>
      </w:r>
      <w:r w:rsidR="00BC5F70" w:rsidRPr="00BC5F70">
        <w:rPr>
          <w:b/>
          <w:i/>
        </w:rPr>
        <w:t>nt tu penses le monde</w:t>
      </w:r>
      <w:r w:rsidR="00BC5F70">
        <w:rPr>
          <w:b/>
          <w:i/>
        </w:rPr>
        <w:t>,</w:t>
      </w:r>
      <w:r w:rsidR="00BC5F70" w:rsidRPr="00BC5F70">
        <w:rPr>
          <w:b/>
          <w:i/>
        </w:rPr>
        <w:t xml:space="preserve"> je te dira</w:t>
      </w:r>
      <w:r w:rsidRPr="00BC5F70">
        <w:rPr>
          <w:b/>
          <w:i/>
        </w:rPr>
        <w:t>i comment tu penses le droit</w:t>
      </w:r>
      <w:r w:rsidR="00BC5F70" w:rsidRPr="00BC5F70">
        <w:rPr>
          <w:b/>
          <w:i/>
        </w:rPr>
        <w:t> »</w:t>
      </w:r>
      <w:r w:rsidRPr="00BC5F70">
        <w:rPr>
          <w:b/>
          <w:i/>
        </w:rPr>
        <w:t xml:space="preserve"> </w:t>
      </w:r>
      <w:r w:rsidR="00BC5F70" w:rsidRPr="00BC5F70">
        <w:rPr>
          <w:b/>
          <w:i/>
        </w:rPr>
        <w:t xml:space="preserve">(Michel </w:t>
      </w:r>
      <w:proofErr w:type="spellStart"/>
      <w:r w:rsidR="00BC5F70" w:rsidRPr="00BC5F70">
        <w:rPr>
          <w:b/>
          <w:i/>
        </w:rPr>
        <w:t>Alliot</w:t>
      </w:r>
      <w:proofErr w:type="spellEnd"/>
      <w:r w:rsidR="00BC5F70" w:rsidRPr="00BC5F70">
        <w:rPr>
          <w:b/>
          <w:i/>
        </w:rPr>
        <w:t>)</w:t>
      </w:r>
      <w:r w:rsidR="006C312F">
        <w:rPr>
          <w:b/>
          <w:i/>
        </w:rPr>
        <w:t xml:space="preserve"> </w:t>
      </w:r>
      <w:r w:rsidR="005830D5">
        <w:t>Les visions du monde sont réductibles à quelques archétypes, des types idéaux</w:t>
      </w:r>
      <w:r w:rsidR="00E47045">
        <w:t>,</w:t>
      </w:r>
      <w:r w:rsidR="005830D5">
        <w:t xml:space="preserve"> permettant de saisir  les priorités des sociétés, mais toujours </w:t>
      </w:r>
      <w:r w:rsidR="0079552C">
        <w:t xml:space="preserve">à interpréter </w:t>
      </w:r>
      <w:r w:rsidR="005830D5">
        <w:t xml:space="preserve">en phase avec l’idée de complexité. </w:t>
      </w:r>
      <w:r w:rsidR="0002450C">
        <w:t xml:space="preserve"> Michel </w:t>
      </w:r>
      <w:proofErr w:type="spellStart"/>
      <w:r w:rsidR="0002450C">
        <w:t>Alliot</w:t>
      </w:r>
      <w:proofErr w:type="spellEnd"/>
      <w:r w:rsidR="0002450C">
        <w:t xml:space="preserve"> en distinguait trois et on a ajouté deux supplémentaires.</w:t>
      </w:r>
    </w:p>
    <w:p w:rsidR="0002450C" w:rsidRDefault="0002450C" w:rsidP="00AA244B">
      <w:pPr>
        <w:jc w:val="both"/>
      </w:pPr>
      <w:r w:rsidRPr="0002450C">
        <w:rPr>
          <w:u w:val="single"/>
        </w:rPr>
        <w:t>Soumission,</w:t>
      </w:r>
      <w:r>
        <w:t xml:space="preserve"> propre aux </w:t>
      </w:r>
      <w:r w:rsidR="00603520">
        <w:t xml:space="preserve"> 3 </w:t>
      </w:r>
      <w:r>
        <w:t xml:space="preserve">religions du livre, fondé sur un néant initial, </w:t>
      </w:r>
      <w:r w:rsidR="00E47045">
        <w:t>principe d’</w:t>
      </w:r>
      <w:r>
        <w:t>unicité ;</w:t>
      </w:r>
    </w:p>
    <w:p w:rsidR="0002450C" w:rsidRDefault="0002450C" w:rsidP="00AA244B">
      <w:pPr>
        <w:jc w:val="both"/>
      </w:pPr>
      <w:r w:rsidRPr="0002450C">
        <w:rPr>
          <w:u w:val="single"/>
        </w:rPr>
        <w:t>Différenciation</w:t>
      </w:r>
      <w:r>
        <w:t>, propre aux animismes, fondé s</w:t>
      </w:r>
      <w:r w:rsidR="00603520">
        <w:t xml:space="preserve">ur un chaos primordial, </w:t>
      </w:r>
      <w:r>
        <w:t xml:space="preserve"> </w:t>
      </w:r>
      <w:r w:rsidR="00E47045">
        <w:t xml:space="preserve">principe de </w:t>
      </w:r>
      <w:r>
        <w:t>pluralité ;</w:t>
      </w:r>
    </w:p>
    <w:p w:rsidR="0002450C" w:rsidRDefault="0002450C" w:rsidP="00AA244B">
      <w:pPr>
        <w:jc w:val="both"/>
      </w:pPr>
      <w:r w:rsidRPr="0002450C">
        <w:rPr>
          <w:u w:val="single"/>
        </w:rPr>
        <w:t>Identification</w:t>
      </w:r>
      <w:r>
        <w:t xml:space="preserve"> , identifié avec le confucianisme, </w:t>
      </w:r>
      <w:r w:rsidR="00E47045">
        <w:t xml:space="preserve">principe de </w:t>
      </w:r>
      <w:r>
        <w:t>dualité (</w:t>
      </w:r>
      <w:proofErr w:type="spellStart"/>
      <w:r>
        <w:t>Alliot</w:t>
      </w:r>
      <w:proofErr w:type="spellEnd"/>
      <w:r>
        <w:t xml:space="preserve"> 2003)</w:t>
      </w:r>
    </w:p>
    <w:p w:rsidR="0002450C" w:rsidRDefault="0002450C" w:rsidP="00AA244B">
      <w:pPr>
        <w:jc w:val="both"/>
      </w:pPr>
      <w:r w:rsidRPr="00E47045">
        <w:rPr>
          <w:i/>
        </w:rPr>
        <w:t>Harmonie</w:t>
      </w:r>
      <w:r>
        <w:t xml:space="preserve">, </w:t>
      </w:r>
      <w:r w:rsidR="00E47045">
        <w:t xml:space="preserve"> associée au </w:t>
      </w:r>
      <w:r>
        <w:t>dharma indou, comb</w:t>
      </w:r>
      <w:r w:rsidR="00E47045">
        <w:t>inant</w:t>
      </w:r>
      <w:r>
        <w:t xml:space="preserve"> les principes du UN</w:t>
      </w:r>
      <w:r w:rsidR="00E47045">
        <w:t>,</w:t>
      </w:r>
      <w:r>
        <w:t xml:space="preserve"> du DEUX et du TROIS</w:t>
      </w:r>
      <w:r w:rsidR="00E47045">
        <w:t xml:space="preserve">, </w:t>
      </w:r>
      <w:r w:rsidR="0079552C">
        <w:t xml:space="preserve"> </w:t>
      </w:r>
      <w:r w:rsidR="001B7235">
        <w:t>au bénéfice du trois.</w:t>
      </w:r>
    </w:p>
    <w:p w:rsidR="005830D5" w:rsidRPr="005830D5" w:rsidRDefault="00DC013F" w:rsidP="00AA244B">
      <w:pPr>
        <w:jc w:val="both"/>
      </w:pPr>
      <w:r w:rsidRPr="00E47045">
        <w:rPr>
          <w:i/>
        </w:rPr>
        <w:t>Rationalisation,</w:t>
      </w:r>
      <w:r>
        <w:t xml:space="preserve"> postmoderne</w:t>
      </w:r>
      <w:r w:rsidR="001B7235">
        <w:t>, combine les principes du UN,</w:t>
      </w:r>
      <w:r>
        <w:t xml:space="preserve"> du DEUX </w:t>
      </w:r>
      <w:r w:rsidR="0079552C">
        <w:t xml:space="preserve"> et du TROIS </w:t>
      </w:r>
      <w:r w:rsidR="001B7235">
        <w:t>mais aborde la pluralité dans une lecture d’englobement du contraire, donc selon un présupposé unitaire</w:t>
      </w:r>
      <w:r>
        <w:t>.</w:t>
      </w:r>
      <w:r w:rsidR="00E47045">
        <w:t xml:space="preserve"> (Eberhard et Le Roy, 2009).</w:t>
      </w:r>
    </w:p>
    <w:p w:rsidR="005830D5" w:rsidRPr="00DC013F" w:rsidRDefault="00DC013F" w:rsidP="00AA244B">
      <w:pPr>
        <w:jc w:val="both"/>
      </w:pPr>
      <w:r>
        <w:t xml:space="preserve">Il semblerait que plus aucune société contemporaine  n’échappe à l’influence de modèles voisins et que toutes les réponses sont composites bien que typiques dans leurs éléments constitutifs. </w:t>
      </w:r>
    </w:p>
    <w:p w:rsidR="00AA60D3" w:rsidRDefault="005830D5" w:rsidP="00AA244B">
      <w:pPr>
        <w:jc w:val="both"/>
      </w:pPr>
      <w:r>
        <w:rPr>
          <w:b/>
        </w:rPr>
        <w:t xml:space="preserve">Cinquième postulat : </w:t>
      </w:r>
      <w:r w:rsidRPr="00F57D7F">
        <w:rPr>
          <w:b/>
          <w:i/>
        </w:rPr>
        <w:t>Tout change et la seule chose qui ne change pas c’est que tout change</w:t>
      </w:r>
      <w:r w:rsidR="00F57D7F" w:rsidRPr="00F57D7F">
        <w:rPr>
          <w:b/>
          <w:i/>
        </w:rPr>
        <w:t>.</w:t>
      </w:r>
      <w:r w:rsidR="00EF09FE">
        <w:rPr>
          <w:b/>
          <w:i/>
        </w:rPr>
        <w:t xml:space="preserve"> </w:t>
      </w:r>
      <w:r w:rsidR="00F57D7F">
        <w:t>Mais le changement n’est pas nécessairement une rupture, une innovation ou une transformation,</w:t>
      </w:r>
      <w:r w:rsidR="00DC013F">
        <w:t xml:space="preserve"> le « développement ». Les reproductions (si elles</w:t>
      </w:r>
      <w:r w:rsidR="00F57D7F">
        <w:t xml:space="preserve"> ne sont pas des clonages) et les adaptations, en particulier les métissages</w:t>
      </w:r>
      <w:r w:rsidR="00DC013F">
        <w:t>,</w:t>
      </w:r>
      <w:r w:rsidR="00F57D7F">
        <w:t xml:space="preserve"> font partie des changements</w:t>
      </w:r>
      <w:r w:rsidR="00344160">
        <w:t xml:space="preserve"> (Moore, 1986) en r</w:t>
      </w:r>
      <w:r w:rsidR="006C312F">
        <w:t>ap</w:t>
      </w:r>
      <w:r w:rsidR="00B936B2">
        <w:t>ports avec les postulats Un et T</w:t>
      </w:r>
      <w:r w:rsidR="00344160">
        <w:t>rois.</w:t>
      </w:r>
    </w:p>
    <w:p w:rsidR="00AA60D3" w:rsidRDefault="00AA60D3" w:rsidP="00AA244B">
      <w:pPr>
        <w:jc w:val="both"/>
        <w:rPr>
          <w:b/>
        </w:rPr>
      </w:pPr>
      <w:r w:rsidRPr="00AA60D3">
        <w:rPr>
          <w:b/>
        </w:rPr>
        <w:t>Sixième postulat :</w:t>
      </w:r>
      <w:r>
        <w:rPr>
          <w:b/>
        </w:rPr>
        <w:t xml:space="preserve"> </w:t>
      </w:r>
      <w:r w:rsidRPr="00AA60D3">
        <w:rPr>
          <w:b/>
          <w:i/>
        </w:rPr>
        <w:t>Le propre d’une intervention dans un conflit n’est pas de le régler mais de le réguler</w:t>
      </w:r>
      <w:r w:rsidR="00EF09FE">
        <w:rPr>
          <w:b/>
          <w:i/>
        </w:rPr>
        <w:t xml:space="preserve">. </w:t>
      </w:r>
      <w:r w:rsidR="00EF09FE" w:rsidRPr="00EF09FE">
        <w:t>Faire disparaître un conflit</w:t>
      </w:r>
      <w:r w:rsidR="00EF09FE">
        <w:t xml:space="preserve"> peut être impossible, voire impensable car ce serait signer l’arrêt de mort du collectif dont le plus souvent l’identité s’est construite par opposition à un autre collectif. Par contre, on peut le réguler, l’inscrire  dans des règles qui permetten</w:t>
      </w:r>
      <w:r w:rsidR="00E47045">
        <w:t>t de vivre avec, voire d’en faire</w:t>
      </w:r>
      <w:r w:rsidR="00EF09FE">
        <w:t xml:space="preserve"> un facteur de stimulation (compétition) ou de transformation</w:t>
      </w:r>
    </w:p>
    <w:p w:rsidR="00EA3B3F" w:rsidRPr="006C312F" w:rsidRDefault="00AA60D3" w:rsidP="00AA244B">
      <w:pPr>
        <w:jc w:val="both"/>
        <w:rPr>
          <w:b/>
          <w:i/>
        </w:rPr>
      </w:pPr>
      <w:r w:rsidRPr="00AA60D3">
        <w:rPr>
          <w:b/>
        </w:rPr>
        <w:t xml:space="preserve">Septième postulat  </w:t>
      </w:r>
      <w:r w:rsidRPr="00AA60D3">
        <w:rPr>
          <w:b/>
          <w:i/>
        </w:rPr>
        <w:t xml:space="preserve">Une régulation à double sens : </w:t>
      </w:r>
      <w:proofErr w:type="spellStart"/>
      <w:r w:rsidRPr="00AA60D3">
        <w:rPr>
          <w:b/>
          <w:i/>
        </w:rPr>
        <w:t>endogenèse</w:t>
      </w:r>
      <w:proofErr w:type="spellEnd"/>
      <w:r w:rsidRPr="00AA60D3">
        <w:rPr>
          <w:b/>
          <w:i/>
        </w:rPr>
        <w:t xml:space="preserve"> et </w:t>
      </w:r>
      <w:proofErr w:type="spellStart"/>
      <w:r w:rsidRPr="00AA60D3">
        <w:rPr>
          <w:b/>
          <w:i/>
        </w:rPr>
        <w:t>exogenèse</w:t>
      </w:r>
      <w:proofErr w:type="spellEnd"/>
      <w:r w:rsidR="006C312F">
        <w:rPr>
          <w:b/>
          <w:i/>
        </w:rPr>
        <w:t xml:space="preserve"> </w:t>
      </w:r>
      <w:r w:rsidR="0002450C">
        <w:t xml:space="preserve">Le sens qu’on attribue à l’intervention d’une tierce partie dans un conflit  varie selon qu’on se le représente comme le représentant d’une force </w:t>
      </w:r>
      <w:proofErr w:type="spellStart"/>
      <w:r w:rsidR="0002450C">
        <w:t>instituante</w:t>
      </w:r>
      <w:proofErr w:type="spellEnd"/>
      <w:r w:rsidR="0002450C">
        <w:t xml:space="preserve"> extérieure, supérieure, omnipotente et omnisciente comme dans le cas de la justice occidentale  ou comme une partie prenante du collectif,  préparée intellectuellement et émotio</w:t>
      </w:r>
      <w:r w:rsidR="006C312F">
        <w:t>nnellement à réguler le conflit</w:t>
      </w:r>
      <w:r w:rsidR="0002450C">
        <w:t xml:space="preserve"> pour traiter le conflit « dans le ventre du groupe »</w:t>
      </w:r>
      <w:r w:rsidR="006C312F">
        <w:t xml:space="preserve"> qui l’a vu naître</w:t>
      </w:r>
      <w:r w:rsidR="0002450C">
        <w:t xml:space="preserve"> et faire revenir ce groupe dans un état de paix. Dans le premier cas, le tiers doit être absolument neutre, dans le second suffisamment impliqué pour en négocier tous les ressorts et les enjeux. </w:t>
      </w:r>
    </w:p>
    <w:p w:rsidR="00EF09FE" w:rsidRDefault="00EF09FE" w:rsidP="00AA244B">
      <w:pPr>
        <w:jc w:val="both"/>
      </w:pPr>
      <w:r>
        <w:rPr>
          <w:b/>
        </w:rPr>
        <w:t xml:space="preserve">Huitième postulat : </w:t>
      </w:r>
      <w:r w:rsidR="00AA60D3" w:rsidRPr="00EF09FE">
        <w:rPr>
          <w:b/>
          <w:i/>
        </w:rPr>
        <w:t>Tout conflit s’inscrit dans un continuum temporel et dans une séquence des transformations</w:t>
      </w:r>
      <w:r w:rsidR="00AA60D3">
        <w:t xml:space="preserve">. Il a une histoire et s’inscrit dans une histoire, voire dans l’Histoire. </w:t>
      </w:r>
      <w:r w:rsidR="003B616D">
        <w:t xml:space="preserve"> Il participe, comme déjà noté, d’un processus de complexification </w:t>
      </w:r>
      <w:r w:rsidR="006C312F">
        <w:t xml:space="preserve"> croissante </w:t>
      </w:r>
      <w:r w:rsidR="003B616D">
        <w:t>qui peut le faire passe</w:t>
      </w:r>
      <w:r w:rsidR="006C312F">
        <w:t>r</w:t>
      </w:r>
      <w:r w:rsidR="003B616D">
        <w:t xml:space="preserve"> d’un problème d’étiquette</w:t>
      </w:r>
      <w:r w:rsidR="006C312F">
        <w:t xml:space="preserve"> (Alger, 1829)</w:t>
      </w:r>
      <w:r w:rsidR="00344160">
        <w:t xml:space="preserve"> ou</w:t>
      </w:r>
      <w:r w:rsidR="00780EA5">
        <w:t xml:space="preserve"> </w:t>
      </w:r>
      <w:r w:rsidR="00344160">
        <w:t>d’</w:t>
      </w:r>
      <w:r w:rsidR="00780EA5">
        <w:t xml:space="preserve">un </w:t>
      </w:r>
      <w:r w:rsidR="00344160">
        <w:t xml:space="preserve">attentat </w:t>
      </w:r>
      <w:r w:rsidR="003B616D">
        <w:t xml:space="preserve"> </w:t>
      </w:r>
      <w:r w:rsidR="006C312F">
        <w:t>(Sarajevo, 1914)</w:t>
      </w:r>
      <w:r w:rsidR="00344160">
        <w:t xml:space="preserve"> à une conquête coloniale ou a d’une guerre mondiale</w:t>
      </w:r>
      <w:r w:rsidR="006C312F">
        <w:t>,</w:t>
      </w:r>
      <w:r w:rsidR="003B616D">
        <w:t xml:space="preserve"> le processus réciproque de baisse des tensions étant beaucoup plus difficile à concrétiser</w:t>
      </w:r>
      <w:r w:rsidR="006C312F">
        <w:t xml:space="preserve"> (Palestine/Israël)</w:t>
      </w:r>
      <w:r w:rsidR="003B616D">
        <w:t>.</w:t>
      </w:r>
    </w:p>
    <w:p w:rsidR="003B616D" w:rsidRDefault="00EF09FE" w:rsidP="00AA244B">
      <w:pPr>
        <w:jc w:val="both"/>
      </w:pPr>
      <w:r w:rsidRPr="00EF09FE">
        <w:rPr>
          <w:b/>
        </w:rPr>
        <w:t>Neuvième postulat </w:t>
      </w:r>
      <w:r w:rsidRPr="00EF09FE">
        <w:rPr>
          <w:b/>
          <w:i/>
        </w:rPr>
        <w:t>: le conflit est un fait social total</w:t>
      </w:r>
      <w:r>
        <w:t xml:space="preserve"> (Mauss) qui</w:t>
      </w:r>
      <w:r w:rsidR="00780EA5">
        <w:t xml:space="preserve">, comme le don, </w:t>
      </w:r>
      <w:r>
        <w:t xml:space="preserve"> donne « à voir l’ensemble de la société » dans son </w:t>
      </w:r>
      <w:r w:rsidR="006C312F">
        <w:t>identité</w:t>
      </w:r>
      <w:r>
        <w:t xml:space="preserve"> et dans ses co</w:t>
      </w:r>
      <w:r w:rsidR="003B616D">
        <w:t xml:space="preserve">ntradictions. Le </w:t>
      </w:r>
      <w:r w:rsidR="00446BDD">
        <w:t>conflit ne relève pas seulement</w:t>
      </w:r>
      <w:r>
        <w:t xml:space="preserve"> d’une science de la violence (polémolog</w:t>
      </w:r>
      <w:r w:rsidR="00446BDD">
        <w:t>ie) ou</w:t>
      </w:r>
      <w:r>
        <w:t xml:space="preserve"> du droit. Sa fonction est plus large</w:t>
      </w:r>
      <w:r w:rsidR="006C312F">
        <w:t>. I</w:t>
      </w:r>
      <w:r>
        <w:t>l accentue les effets de certains choix ou en simplifie d’autres relevant du projet de société</w:t>
      </w:r>
      <w:r w:rsidR="003B616D">
        <w:t xml:space="preserve">. Il </w:t>
      </w:r>
      <w:r>
        <w:t xml:space="preserve">contribue </w:t>
      </w:r>
      <w:r w:rsidR="003B616D">
        <w:t xml:space="preserve">ainsi </w:t>
      </w:r>
      <w:r>
        <w:t>à « instituer la vie</w:t>
      </w:r>
      <w:r w:rsidR="003B616D">
        <w:t> »</w:t>
      </w:r>
      <w:r>
        <w:t xml:space="preserve"> et participe à </w:t>
      </w:r>
      <w:r w:rsidR="003B616D">
        <w:t>« </w:t>
      </w:r>
      <w:r>
        <w:t>l’art dogmatique de nouer le social, le biologique et l’inconscient pour assurer la reproduction de l’humanité</w:t>
      </w:r>
      <w:r w:rsidR="003B616D">
        <w:t> »</w:t>
      </w:r>
      <w:r>
        <w:t xml:space="preserve"> (Pierre Legendre). </w:t>
      </w:r>
    </w:p>
    <w:p w:rsidR="00EC1664" w:rsidRDefault="003B616D" w:rsidP="00AA244B">
      <w:pPr>
        <w:jc w:val="both"/>
      </w:pPr>
      <w:r w:rsidRPr="003B616D">
        <w:rPr>
          <w:b/>
        </w:rPr>
        <w:t xml:space="preserve">Dixième postulat : </w:t>
      </w:r>
      <w:r w:rsidRPr="003B616D">
        <w:rPr>
          <w:b/>
          <w:i/>
        </w:rPr>
        <w:t>Le propre du conflit  n’est pas de mettre en confrontation deux  ou des catégories de normes ou de principes mais des acteurs « de chair et d’os »,</w:t>
      </w:r>
      <w:r>
        <w:t xml:space="preserve"> des pulsions et des imaginaires, des sentiments et  des rationalisations. « Cherchez l’homme derrière la norme ou l’institution</w:t>
      </w:r>
      <w:r w:rsidR="00973BC3">
        <w:t> »,</w:t>
      </w:r>
      <w:r w:rsidR="00EC1664">
        <w:t xml:space="preserve"> «  Rendre à chacun ce qui lui revient » sont les deux applications de ce dernier postulat qui vise à identifier la poursuite des intérêts plutôt que l’invocation de principes moraux, métaphysiques ou de justice.</w:t>
      </w:r>
    </w:p>
    <w:p w:rsidR="006C312F" w:rsidRDefault="006C312F" w:rsidP="00AA244B">
      <w:pPr>
        <w:jc w:val="both"/>
      </w:pPr>
    </w:p>
    <w:p w:rsidR="006C312F" w:rsidRDefault="006C312F" w:rsidP="00AA244B">
      <w:pPr>
        <w:jc w:val="both"/>
      </w:pPr>
    </w:p>
    <w:p w:rsidR="001B49F0" w:rsidRPr="00EC1664" w:rsidRDefault="00354286" w:rsidP="00AA244B">
      <w:pPr>
        <w:jc w:val="both"/>
        <w:rPr>
          <w:b/>
          <w:sz w:val="32"/>
        </w:rPr>
      </w:pPr>
      <w:r>
        <w:rPr>
          <w:b/>
          <w:sz w:val="32"/>
        </w:rPr>
        <w:t>Faire société</w:t>
      </w:r>
      <w:r w:rsidR="00EC1664">
        <w:rPr>
          <w:b/>
          <w:sz w:val="32"/>
        </w:rPr>
        <w:t xml:space="preserve"> à l’âge </w:t>
      </w:r>
      <w:r w:rsidR="00BD3B2E">
        <w:rPr>
          <w:b/>
          <w:sz w:val="32"/>
        </w:rPr>
        <w:t xml:space="preserve">contemporain : </w:t>
      </w:r>
      <w:r w:rsidR="00B936B2">
        <w:rPr>
          <w:b/>
          <w:sz w:val="32"/>
        </w:rPr>
        <w:t xml:space="preserve">d’un agôn </w:t>
      </w:r>
      <w:proofErr w:type="spellStart"/>
      <w:r w:rsidR="00BD3B2E">
        <w:rPr>
          <w:b/>
          <w:sz w:val="32"/>
        </w:rPr>
        <w:t>transmo</w:t>
      </w:r>
      <w:r w:rsidR="00B936B2">
        <w:rPr>
          <w:b/>
          <w:sz w:val="32"/>
        </w:rPr>
        <w:t>derne</w:t>
      </w:r>
      <w:proofErr w:type="spellEnd"/>
      <w:r w:rsidR="00EC1664">
        <w:rPr>
          <w:b/>
          <w:sz w:val="32"/>
        </w:rPr>
        <w:t xml:space="preserve"> </w:t>
      </w:r>
      <w:r w:rsidR="00B936B2">
        <w:rPr>
          <w:b/>
          <w:sz w:val="32"/>
        </w:rPr>
        <w:t xml:space="preserve">et </w:t>
      </w:r>
      <w:r w:rsidR="00EC1664">
        <w:rPr>
          <w:b/>
          <w:sz w:val="32"/>
        </w:rPr>
        <w:t>mondialis</w:t>
      </w:r>
      <w:r w:rsidR="00B936B2">
        <w:rPr>
          <w:b/>
          <w:sz w:val="32"/>
        </w:rPr>
        <w:t>é au</w:t>
      </w:r>
      <w:r w:rsidR="00BD3B2E">
        <w:rPr>
          <w:b/>
          <w:sz w:val="32"/>
        </w:rPr>
        <w:t xml:space="preserve"> </w:t>
      </w:r>
      <w:proofErr w:type="spellStart"/>
      <w:r w:rsidR="00BD3B2E">
        <w:rPr>
          <w:b/>
          <w:sz w:val="32"/>
        </w:rPr>
        <w:t>multisensus</w:t>
      </w:r>
      <w:proofErr w:type="spellEnd"/>
    </w:p>
    <w:p w:rsidR="001B49F0" w:rsidRPr="001B49F0" w:rsidRDefault="001B49F0" w:rsidP="00AA244B">
      <w:pPr>
        <w:jc w:val="both"/>
        <w:rPr>
          <w:b/>
        </w:rPr>
      </w:pPr>
    </w:p>
    <w:p w:rsidR="00BD3B2E" w:rsidRDefault="00973BC3" w:rsidP="00AA244B">
      <w:pPr>
        <w:jc w:val="both"/>
      </w:pPr>
      <w:r>
        <w:t xml:space="preserve">Les postulats précédents ont préparé le lecteur/auditeur à revenir sur mes propos introductifs et, en particulier, </w:t>
      </w:r>
      <w:r w:rsidR="003371A0">
        <w:t xml:space="preserve">à </w:t>
      </w:r>
      <w:r>
        <w:t>la conception du pluralisme que nous nous efforçons de met</w:t>
      </w:r>
      <w:r w:rsidR="003371A0">
        <w:t>t</w:t>
      </w:r>
      <w:r>
        <w:t>re en place</w:t>
      </w:r>
      <w:r w:rsidR="003371A0">
        <w:t xml:space="preserve"> et qui permettra de justifier que, </w:t>
      </w:r>
      <w:r w:rsidR="007E0197">
        <w:t>en excluant tout</w:t>
      </w:r>
      <w:r w:rsidR="003371A0">
        <w:t xml:space="preserve"> relativisme, c’est à dire sans renoncer à </w:t>
      </w:r>
      <w:r w:rsidR="00D229E1">
        <w:t>afficher des choix et</w:t>
      </w:r>
      <w:r w:rsidR="003371A0">
        <w:t xml:space="preserve"> des priorités</w:t>
      </w:r>
      <w:r w:rsidR="00D229E1">
        <w:t xml:space="preserve"> dans nos valeurs</w:t>
      </w:r>
      <w:r w:rsidR="003371A0">
        <w:t xml:space="preserve">, nous ne pouvons nous enfermer dans une opposition entre consensus et </w:t>
      </w:r>
      <w:proofErr w:type="spellStart"/>
      <w:r w:rsidR="003371A0">
        <w:t>dissensus</w:t>
      </w:r>
      <w:proofErr w:type="spellEnd"/>
      <w:r w:rsidR="003371A0">
        <w:t xml:space="preserve">. Aucune société ne saurait être ni totalement consensuelle ni totalement </w:t>
      </w:r>
      <w:proofErr w:type="spellStart"/>
      <w:r w:rsidR="003371A0">
        <w:t>dissensuelle</w:t>
      </w:r>
      <w:proofErr w:type="spellEnd"/>
      <w:r w:rsidR="003371A0">
        <w:t>, donc ni pacifiée ni absolument violente.  Chacune est l’un</w:t>
      </w:r>
      <w:r w:rsidR="00BD3B2E">
        <w:t>e</w:t>
      </w:r>
      <w:r w:rsidR="003371A0">
        <w:t xml:space="preserve"> et l’autre à des degrés divers. Et, pour </w:t>
      </w:r>
      <w:r w:rsidR="007E0197">
        <w:t>le vérifier</w:t>
      </w:r>
      <w:r w:rsidR="003371A0">
        <w:t>, il faut revenir</w:t>
      </w:r>
      <w:r w:rsidR="00B936B2">
        <w:t>, après avoir travaillé le sens grec original d’</w:t>
      </w:r>
      <w:proofErr w:type="spellStart"/>
      <w:r w:rsidR="00B936B2">
        <w:t>agon</w:t>
      </w:r>
      <w:proofErr w:type="spellEnd"/>
      <w:r w:rsidR="00B83538">
        <w:t>,</w:t>
      </w:r>
      <w:r w:rsidR="003371A0">
        <w:t xml:space="preserve"> à la racine latine </w:t>
      </w:r>
      <w:proofErr w:type="spellStart"/>
      <w:r w:rsidR="003371A0">
        <w:t>sensus</w:t>
      </w:r>
      <w:proofErr w:type="spellEnd"/>
      <w:r w:rsidR="007E0197">
        <w:t xml:space="preserve"> de ces deux termes. </w:t>
      </w:r>
      <w:proofErr w:type="spellStart"/>
      <w:r w:rsidR="007E0197">
        <w:t>Sensus</w:t>
      </w:r>
      <w:proofErr w:type="spellEnd"/>
      <w:r w:rsidR="003371A0">
        <w:t xml:space="preserve"> ne désigne pas seulement la faculté de sentir mais aussi la manière de voir et de concevoir, la faculté de penser </w:t>
      </w:r>
      <w:r w:rsidR="00BD3B2E">
        <w:t xml:space="preserve">et </w:t>
      </w:r>
      <w:r w:rsidR="003371A0">
        <w:t>de comprendre, l’intelligence (</w:t>
      </w:r>
      <w:proofErr w:type="spellStart"/>
      <w:r w:rsidR="003371A0">
        <w:t>Gaffiot</w:t>
      </w:r>
      <w:proofErr w:type="spellEnd"/>
      <w:r w:rsidR="003371A0">
        <w:t xml:space="preserve">, 1934, 1423). </w:t>
      </w:r>
      <w:r w:rsidR="007E0197">
        <w:t xml:space="preserve"> Ainsi, pour </w:t>
      </w:r>
      <w:r w:rsidR="00BD3B2E">
        <w:t xml:space="preserve">aborder le conflit à l’époque </w:t>
      </w:r>
      <w:proofErr w:type="spellStart"/>
      <w:r w:rsidR="00BD3B2E">
        <w:t>transmoderne</w:t>
      </w:r>
      <w:proofErr w:type="spellEnd"/>
      <w:r w:rsidR="00100757">
        <w:t>,</w:t>
      </w:r>
      <w:r w:rsidR="007E0197">
        <w:t xml:space="preserve"> il faut apprendre à penser l’époque dans laquelle il s’inscrit.</w:t>
      </w:r>
      <w:r w:rsidR="00BD3B2E">
        <w:t xml:space="preserve"> </w:t>
      </w:r>
      <w:r w:rsidR="00100757">
        <w:t xml:space="preserve"> </w:t>
      </w:r>
      <w:r w:rsidR="00255972">
        <w:t>Cette époque</w:t>
      </w:r>
      <w:r w:rsidR="00100757">
        <w:t xml:space="preserve"> est marquée par la mondialisation</w:t>
      </w:r>
      <w:r w:rsidR="00354286">
        <w:t xml:space="preserve"> </w:t>
      </w:r>
      <w:proofErr w:type="spellStart"/>
      <w:r w:rsidR="00354286">
        <w:t>néo-libérale</w:t>
      </w:r>
      <w:proofErr w:type="spellEnd"/>
      <w:r w:rsidR="00354286">
        <w:t xml:space="preserve">, </w:t>
      </w:r>
      <w:proofErr w:type="spellStart"/>
      <w:r w:rsidR="00354286">
        <w:t>c.a.d</w:t>
      </w:r>
      <w:proofErr w:type="spellEnd"/>
      <w:r w:rsidR="00354286">
        <w:t>.</w:t>
      </w:r>
      <w:r w:rsidR="00D229E1">
        <w:t xml:space="preserve"> la généralisation </w:t>
      </w:r>
      <w:r w:rsidR="00B83538">
        <w:t xml:space="preserve">à la planète ‘Terre ‘ </w:t>
      </w:r>
      <w:r w:rsidR="00D229E1">
        <w:t>du marché capitaliste, l’extension des sphères d’intervention de l’</w:t>
      </w:r>
      <w:r w:rsidR="00D229E1">
        <w:rPr>
          <w:rFonts w:ascii="Cambria" w:hAnsi="Cambria"/>
        </w:rPr>
        <w:t>É</w:t>
      </w:r>
      <w:r w:rsidR="00D229E1">
        <w:t xml:space="preserve">tat et un </w:t>
      </w:r>
      <w:proofErr w:type="spellStart"/>
      <w:r w:rsidR="00D229E1">
        <w:t>hyperindividualisme</w:t>
      </w:r>
      <w:proofErr w:type="spellEnd"/>
      <w:r w:rsidR="00D229E1">
        <w:t xml:space="preserve"> destructeur de tout rapport solidaire.</w:t>
      </w:r>
    </w:p>
    <w:p w:rsidR="007E0197" w:rsidRDefault="007E65D2" w:rsidP="00AA244B">
      <w:pPr>
        <w:jc w:val="both"/>
      </w:pPr>
      <w:r>
        <w:t>Par ailleurs, l</w:t>
      </w:r>
      <w:r w:rsidR="00BD3B2E">
        <w:t>a faculté de penser et de comprendre selon le paradigme anthropologique conduit à aborder</w:t>
      </w:r>
      <w:r w:rsidR="00255972">
        <w:t xml:space="preserve"> </w:t>
      </w:r>
      <w:r w:rsidR="00B83538">
        <w:t>la manière d’aborder</w:t>
      </w:r>
      <w:r w:rsidR="00BD3B2E">
        <w:t xml:space="preserve"> le conflit</w:t>
      </w:r>
      <w:r w:rsidR="00B83538">
        <w:t xml:space="preserve"> pour « faire société »</w:t>
      </w:r>
      <w:r w:rsidR="00BD3B2E">
        <w:t xml:space="preserve"> dans le cadre de la théorie de la pluralité des mondes en y adjoignant pour l’occasion une conception du </w:t>
      </w:r>
      <w:proofErr w:type="spellStart"/>
      <w:r w:rsidR="00BD3B2E">
        <w:t>multisensus</w:t>
      </w:r>
      <w:proofErr w:type="spellEnd"/>
      <w:r w:rsidR="00BD3B2E">
        <w:t xml:space="preserve"> comme extension et appl</w:t>
      </w:r>
      <w:r w:rsidR="00100757">
        <w:t>ication au conflit</w:t>
      </w:r>
      <w:r w:rsidR="00354286">
        <w:t xml:space="preserve"> et à l’</w:t>
      </w:r>
      <w:proofErr w:type="spellStart"/>
      <w:r w:rsidR="00354286">
        <w:t>agon</w:t>
      </w:r>
      <w:proofErr w:type="spellEnd"/>
      <w:r w:rsidR="00100757">
        <w:t xml:space="preserve"> du </w:t>
      </w:r>
      <w:proofErr w:type="spellStart"/>
      <w:r w:rsidR="00100757">
        <w:t>multijurid</w:t>
      </w:r>
      <w:r w:rsidR="00BD3B2E">
        <w:t>i</w:t>
      </w:r>
      <w:r w:rsidR="00100757">
        <w:t>s</w:t>
      </w:r>
      <w:r w:rsidR="00BD3B2E">
        <w:t>me</w:t>
      </w:r>
      <w:proofErr w:type="spellEnd"/>
      <w:r w:rsidR="00BD3B2E">
        <w:t xml:space="preserve"> (Le Roy, 1998)</w:t>
      </w:r>
      <w:r w:rsidR="007E0197">
        <w:t>.</w:t>
      </w:r>
    </w:p>
    <w:p w:rsidR="00014C82" w:rsidRPr="007E0197" w:rsidRDefault="00354286" w:rsidP="00AA244B">
      <w:pPr>
        <w:jc w:val="both"/>
        <w:rPr>
          <w:b/>
          <w:i/>
        </w:rPr>
      </w:pPr>
      <w:r>
        <w:rPr>
          <w:b/>
          <w:i/>
        </w:rPr>
        <w:t>La pluralité de</w:t>
      </w:r>
      <w:r w:rsidR="007E0197" w:rsidRPr="007E0197">
        <w:rPr>
          <w:b/>
          <w:i/>
        </w:rPr>
        <w:t xml:space="preserve"> mondes</w:t>
      </w:r>
      <w:r w:rsidR="007E65D2">
        <w:rPr>
          <w:b/>
          <w:i/>
        </w:rPr>
        <w:t xml:space="preserve"> « </w:t>
      </w:r>
      <w:proofErr w:type="spellStart"/>
      <w:r w:rsidR="007E65D2">
        <w:rPr>
          <w:b/>
          <w:i/>
        </w:rPr>
        <w:t>glocalisés</w:t>
      </w:r>
      <w:proofErr w:type="spellEnd"/>
      <w:r w:rsidR="007E65D2">
        <w:rPr>
          <w:b/>
          <w:i/>
        </w:rPr>
        <w:t> »</w:t>
      </w:r>
      <w:r w:rsidR="007E0197" w:rsidRPr="007E0197">
        <w:rPr>
          <w:b/>
          <w:i/>
        </w:rPr>
        <w:t xml:space="preserve"> </w:t>
      </w:r>
    </w:p>
    <w:p w:rsidR="007E65D2" w:rsidRDefault="00100757" w:rsidP="007E0197">
      <w:pPr>
        <w:pStyle w:val="Corpsdetexte"/>
        <w:spacing w:line="240" w:lineRule="auto"/>
        <w:rPr>
          <w:rFonts w:ascii="Times New Roman" w:hAnsi="Times New Roman"/>
        </w:rPr>
      </w:pPr>
      <w:r>
        <w:rPr>
          <w:rFonts w:ascii="Times New Roman" w:hAnsi="Times New Roman"/>
        </w:rPr>
        <w:t>L</w:t>
      </w:r>
      <w:r w:rsidR="007E0197">
        <w:rPr>
          <w:rFonts w:ascii="Times New Roman" w:hAnsi="Times New Roman"/>
        </w:rPr>
        <w:t xml:space="preserve">a mondialisation n’existant que par les acteurs qui la font et par ceux qui y croient, les conditions de vie et de reproduction de ces acteurs les situent nécessairement à la fois dans la sphère mondiale qui les identifie et dans une sphère domestique, dans une vie d’immeuble, de quartier, de village, de bureau qui prend en charge le quotidien, ne serait-ce qu’éros et thanatos, l’amour et la mort. </w:t>
      </w:r>
      <w:r w:rsidR="007E65D2">
        <w:rPr>
          <w:rFonts w:ascii="Times New Roman" w:hAnsi="Times New Roman"/>
        </w:rPr>
        <w:t xml:space="preserve"> Donc nous nous situons entre le global et le local,</w:t>
      </w:r>
      <w:r w:rsidR="00B30E1A">
        <w:rPr>
          <w:rFonts w:ascii="Times New Roman" w:hAnsi="Times New Roman"/>
        </w:rPr>
        <w:t xml:space="preserve"> ce que par un raccourci on </w:t>
      </w:r>
      <w:r w:rsidR="00446BDD">
        <w:rPr>
          <w:rFonts w:ascii="Times New Roman" w:hAnsi="Times New Roman"/>
        </w:rPr>
        <w:t xml:space="preserve">a </w:t>
      </w:r>
      <w:r w:rsidR="00B30E1A">
        <w:rPr>
          <w:rFonts w:ascii="Times New Roman" w:hAnsi="Times New Roman"/>
        </w:rPr>
        <w:t>app</w:t>
      </w:r>
      <w:r w:rsidR="007E65D2">
        <w:rPr>
          <w:rFonts w:ascii="Times New Roman" w:hAnsi="Times New Roman"/>
        </w:rPr>
        <w:t xml:space="preserve">elé une mondialisation </w:t>
      </w:r>
      <w:proofErr w:type="spellStart"/>
      <w:r w:rsidR="007E65D2">
        <w:rPr>
          <w:rFonts w:ascii="Times New Roman" w:hAnsi="Times New Roman"/>
        </w:rPr>
        <w:t>glocalisée</w:t>
      </w:r>
      <w:proofErr w:type="spellEnd"/>
      <w:r w:rsidR="007E65D2">
        <w:rPr>
          <w:rFonts w:ascii="Times New Roman" w:hAnsi="Times New Roman"/>
        </w:rPr>
        <w:t>.</w:t>
      </w:r>
    </w:p>
    <w:p w:rsidR="007E0197" w:rsidRDefault="007E0197" w:rsidP="007E0197">
      <w:pPr>
        <w:pStyle w:val="Corpsdetexte"/>
        <w:spacing w:line="240" w:lineRule="auto"/>
        <w:rPr>
          <w:rFonts w:ascii="Times New Roman" w:hAnsi="Times New Roman"/>
        </w:rPr>
      </w:pPr>
      <w:r>
        <w:rPr>
          <w:rFonts w:ascii="Times New Roman" w:hAnsi="Times New Roman"/>
        </w:rPr>
        <w:t xml:space="preserve"> Sauf à supposer une schizophrénie généralisée, les acteurs de la mondialisation sont tantôt nos semblables, tantôt nous-mêmes dans certains de nos emplois ou fonctions, donc aménagent leurs conduites en faisant combiner, au mieux, leurs appartenances mondiales et locales. Cette conclusion est essentielle pour appréhender cette nouvelle manière, </w:t>
      </w:r>
      <w:proofErr w:type="spellStart"/>
      <w:r>
        <w:rPr>
          <w:rFonts w:ascii="Times New Roman" w:hAnsi="Times New Roman"/>
        </w:rPr>
        <w:t>transmoderne</w:t>
      </w:r>
      <w:proofErr w:type="spellEnd"/>
      <w:r>
        <w:rPr>
          <w:rFonts w:ascii="Times New Roman" w:hAnsi="Times New Roman"/>
        </w:rPr>
        <w:t xml:space="preserve">, de lire la société.  </w:t>
      </w:r>
    </w:p>
    <w:p w:rsidR="007E0197" w:rsidRDefault="007E0197" w:rsidP="007E0197">
      <w:pPr>
        <w:jc w:val="both"/>
        <w:rPr>
          <w:rFonts w:ascii="Times New Roman" w:hAnsi="Times New Roman"/>
        </w:rPr>
      </w:pPr>
    </w:p>
    <w:p w:rsidR="007E0197" w:rsidRDefault="007E0197" w:rsidP="007E0197">
      <w:pPr>
        <w:jc w:val="both"/>
        <w:rPr>
          <w:rFonts w:ascii="Times New Roman" w:hAnsi="Times New Roman"/>
        </w:rPr>
      </w:pPr>
      <w:r>
        <w:rPr>
          <w:rFonts w:ascii="Times New Roman" w:hAnsi="Times New Roman"/>
        </w:rPr>
        <w:t>Des chercheurs en sciences sociales, en France et aux États-Unis pour ce que j’en sais, proposent un postulat qui tient à notre inscription dans une pluralité de cadres référentiels, de « mondes</w:t>
      </w:r>
      <w:r w:rsidR="00446BDD">
        <w:rPr>
          <w:rFonts w:ascii="Times New Roman" w:hAnsi="Times New Roman"/>
        </w:rPr>
        <w:t> »</w:t>
      </w:r>
      <w:r>
        <w:rPr>
          <w:rFonts w:ascii="Times New Roman" w:hAnsi="Times New Roman"/>
        </w:rPr>
        <w:t xml:space="preserve">, que les sociologues français Luc Boltanski et Laurent Thévenot dénomment des « cités »  ou que l’anthropologue </w:t>
      </w:r>
      <w:proofErr w:type="spellStart"/>
      <w:r>
        <w:rPr>
          <w:rFonts w:ascii="Times New Roman" w:hAnsi="Times New Roman"/>
        </w:rPr>
        <w:t>indo-américain</w:t>
      </w:r>
      <w:proofErr w:type="spellEnd"/>
      <w:r>
        <w:rPr>
          <w:rFonts w:ascii="Times New Roman" w:hAnsi="Times New Roman"/>
        </w:rPr>
        <w:t xml:space="preserve"> </w:t>
      </w:r>
      <w:proofErr w:type="spellStart"/>
      <w:r>
        <w:rPr>
          <w:rFonts w:ascii="Times New Roman" w:hAnsi="Times New Roman"/>
        </w:rPr>
        <w:t>Arjun</w:t>
      </w:r>
      <w:proofErr w:type="spellEnd"/>
      <w:r>
        <w:rPr>
          <w:rFonts w:ascii="Times New Roman" w:hAnsi="Times New Roman"/>
        </w:rPr>
        <w:t xml:space="preserve"> </w:t>
      </w:r>
      <w:proofErr w:type="spellStart"/>
      <w:r>
        <w:rPr>
          <w:rFonts w:ascii="Times New Roman" w:hAnsi="Times New Roman"/>
        </w:rPr>
        <w:t>Appadurai</w:t>
      </w:r>
      <w:proofErr w:type="spellEnd"/>
      <w:r>
        <w:rPr>
          <w:rFonts w:ascii="Times New Roman" w:hAnsi="Times New Roman"/>
        </w:rPr>
        <w:t xml:space="preserve"> appelle des « paysages ». </w:t>
      </w:r>
    </w:p>
    <w:p w:rsidR="007E0197" w:rsidRPr="00980461" w:rsidRDefault="007E0197" w:rsidP="007E0197">
      <w:pPr>
        <w:jc w:val="both"/>
        <w:rPr>
          <w:rFonts w:ascii="Times New Roman" w:hAnsi="Times New Roman"/>
          <w:i/>
        </w:rPr>
      </w:pPr>
      <w:r w:rsidRPr="00980461">
        <w:rPr>
          <w:rFonts w:ascii="Times New Roman" w:hAnsi="Times New Roman"/>
          <w:i/>
        </w:rPr>
        <w:t>Les mondes comme des « cités »</w:t>
      </w:r>
    </w:p>
    <w:p w:rsidR="007E0197" w:rsidRDefault="007E0197" w:rsidP="00473E72">
      <w:pPr>
        <w:spacing w:after="0"/>
        <w:jc w:val="both"/>
        <w:rPr>
          <w:rFonts w:ascii="Times New Roman" w:hAnsi="Times New Roman"/>
        </w:rPr>
      </w:pPr>
      <w:r>
        <w:rPr>
          <w:rFonts w:ascii="Times New Roman" w:hAnsi="Times New Roman"/>
        </w:rPr>
        <w:t xml:space="preserve">La démarche des sociologues  consiste </w:t>
      </w:r>
    </w:p>
    <w:p w:rsidR="007E0197" w:rsidRDefault="007E0197" w:rsidP="007E0197">
      <w:pPr>
        <w:ind w:left="567"/>
        <w:jc w:val="both"/>
        <w:rPr>
          <w:rFonts w:ascii="Times New Roman" w:hAnsi="Times New Roman"/>
        </w:rPr>
      </w:pPr>
      <w:r>
        <w:rPr>
          <w:rFonts w:ascii="Times New Roman" w:hAnsi="Times New Roman"/>
          <w:i/>
        </w:rPr>
        <w:t xml:space="preserve">« à considérer que les êtres humains, à la différence des objets, peuvent se réaliser dans différents mondes. Il s’agit, </w:t>
      </w:r>
      <w:r>
        <w:rPr>
          <w:rFonts w:ascii="Times New Roman" w:hAnsi="Times New Roman"/>
        </w:rPr>
        <w:t>disent-ils</w:t>
      </w:r>
      <w:r>
        <w:rPr>
          <w:rFonts w:ascii="Times New Roman" w:hAnsi="Times New Roman"/>
          <w:i/>
        </w:rPr>
        <w:t>, d’étudier la possibilité d’arriver à des accords justifiables sous la contrainte d’une pluralité d’accords disponibles »(...). Il faut donc renoncer à associer les mondes à des groupes et ne les attacher qu’aux dispositifs d’objets qui qualifient les différentes situations dans lesquelles se déploient les activités des personnes lorsqu’elles mettent ces objets en valeur. Or, dans une société différenciée, chaque personne doit affronter quotidiennement des situations relevant de mondes distincts, savoir les reconnaître et se montrer capables de s’y ajuster </w:t>
      </w:r>
      <w:r>
        <w:rPr>
          <w:rFonts w:ascii="Times New Roman" w:hAnsi="Times New Roman"/>
        </w:rPr>
        <w:t>». (1991 p. 266)</w:t>
      </w:r>
    </w:p>
    <w:p w:rsidR="007E0197" w:rsidRDefault="007E0197" w:rsidP="007E0197">
      <w:pPr>
        <w:pStyle w:val="Corpsdetexte"/>
        <w:spacing w:line="240" w:lineRule="auto"/>
        <w:rPr>
          <w:rFonts w:ascii="Times New Roman" w:hAnsi="Times New Roman"/>
        </w:rPr>
      </w:pPr>
      <w:r>
        <w:rPr>
          <w:rFonts w:ascii="Times New Roman" w:hAnsi="Times New Roman"/>
        </w:rPr>
        <w:t xml:space="preserve">Ces auteurs proposent ainsi de distinguer entre cinq « mondes », dits aussi « cités » parce que liées à des types de constructions politiques. Citons, de manière nécessairement elliptique, </w:t>
      </w:r>
      <w:r>
        <w:rPr>
          <w:rFonts w:ascii="Times New Roman" w:hAnsi="Times New Roman"/>
          <w:i/>
        </w:rPr>
        <w:t>« la cité inspirée </w:t>
      </w:r>
      <w:r>
        <w:rPr>
          <w:rFonts w:ascii="Times New Roman" w:hAnsi="Times New Roman"/>
        </w:rPr>
        <w:t>» des penseurs et des artistes, fondée sur « </w:t>
      </w:r>
      <w:r>
        <w:rPr>
          <w:rFonts w:ascii="Times New Roman" w:hAnsi="Times New Roman"/>
          <w:i/>
        </w:rPr>
        <w:t>un principe de créativité </w:t>
      </w:r>
      <w:r>
        <w:rPr>
          <w:rFonts w:ascii="Times New Roman" w:hAnsi="Times New Roman"/>
        </w:rPr>
        <w:t>», « </w:t>
      </w:r>
      <w:r>
        <w:rPr>
          <w:rFonts w:ascii="Times New Roman" w:hAnsi="Times New Roman"/>
          <w:i/>
        </w:rPr>
        <w:t>la cité domestique </w:t>
      </w:r>
      <w:r>
        <w:rPr>
          <w:rFonts w:ascii="Times New Roman" w:hAnsi="Times New Roman"/>
        </w:rPr>
        <w:t>» qui</w:t>
      </w:r>
      <w:r>
        <w:rPr>
          <w:rFonts w:ascii="Times New Roman" w:hAnsi="Times New Roman"/>
          <w:i/>
        </w:rPr>
        <w:t xml:space="preserve"> « renvoie à l’art des relations familiales, à la tradition et au respect des règles </w:t>
      </w:r>
      <w:r>
        <w:rPr>
          <w:rFonts w:ascii="Times New Roman" w:hAnsi="Times New Roman"/>
        </w:rPr>
        <w:t>», « </w:t>
      </w:r>
      <w:r>
        <w:rPr>
          <w:rFonts w:ascii="Times New Roman" w:hAnsi="Times New Roman"/>
          <w:i/>
        </w:rPr>
        <w:t>la cité d’opinion </w:t>
      </w:r>
      <w:r>
        <w:rPr>
          <w:rFonts w:ascii="Times New Roman" w:hAnsi="Times New Roman"/>
        </w:rPr>
        <w:t xml:space="preserve">» qui </w:t>
      </w:r>
      <w:r>
        <w:rPr>
          <w:rFonts w:ascii="Times New Roman" w:hAnsi="Times New Roman"/>
          <w:i/>
        </w:rPr>
        <w:t>« vise à la reconnaissance sociale </w:t>
      </w:r>
      <w:r>
        <w:rPr>
          <w:rFonts w:ascii="Times New Roman" w:hAnsi="Times New Roman"/>
        </w:rPr>
        <w:t>». La quatrième cité est « </w:t>
      </w:r>
      <w:r>
        <w:rPr>
          <w:rFonts w:ascii="Times New Roman" w:hAnsi="Times New Roman"/>
          <w:i/>
        </w:rPr>
        <w:t>civique </w:t>
      </w:r>
      <w:r>
        <w:rPr>
          <w:rFonts w:ascii="Times New Roman" w:hAnsi="Times New Roman"/>
        </w:rPr>
        <w:t>» et l’action y est justifiée par « </w:t>
      </w:r>
      <w:r>
        <w:rPr>
          <w:rFonts w:ascii="Times New Roman" w:hAnsi="Times New Roman"/>
          <w:i/>
        </w:rPr>
        <w:t>la recherche de l’intérêt général </w:t>
      </w:r>
      <w:r>
        <w:rPr>
          <w:rFonts w:ascii="Times New Roman" w:hAnsi="Times New Roman"/>
        </w:rPr>
        <w:t xml:space="preserve">». Enfin, la cinquième cité est </w:t>
      </w:r>
      <w:r>
        <w:rPr>
          <w:rFonts w:ascii="Times New Roman" w:hAnsi="Times New Roman"/>
          <w:i/>
        </w:rPr>
        <w:t>« industrielle </w:t>
      </w:r>
      <w:r>
        <w:rPr>
          <w:rFonts w:ascii="Times New Roman" w:hAnsi="Times New Roman"/>
        </w:rPr>
        <w:t>», dominée par « </w:t>
      </w:r>
      <w:r>
        <w:rPr>
          <w:rFonts w:ascii="Times New Roman" w:hAnsi="Times New Roman"/>
          <w:i/>
        </w:rPr>
        <w:t>l’impératif de l’efficacité et de la productivité </w:t>
      </w:r>
      <w:r>
        <w:rPr>
          <w:rFonts w:ascii="Times New Roman" w:hAnsi="Times New Roman"/>
        </w:rPr>
        <w:t xml:space="preserve">». À ces cinq cités, Philippe </w:t>
      </w:r>
      <w:proofErr w:type="spellStart"/>
      <w:r>
        <w:rPr>
          <w:rFonts w:ascii="Times New Roman" w:hAnsi="Times New Roman"/>
        </w:rPr>
        <w:t>Bernoux</w:t>
      </w:r>
      <w:proofErr w:type="spellEnd"/>
      <w:r>
        <w:rPr>
          <w:rFonts w:ascii="Times New Roman" w:hAnsi="Times New Roman"/>
        </w:rPr>
        <w:t xml:space="preserve"> a proposé d’en ajouter une sixième, la «</w:t>
      </w:r>
      <w:r>
        <w:rPr>
          <w:rFonts w:ascii="Times New Roman" w:hAnsi="Times New Roman"/>
          <w:i/>
        </w:rPr>
        <w:t> cité marchand</w:t>
      </w:r>
      <w:r>
        <w:rPr>
          <w:rFonts w:ascii="Times New Roman" w:hAnsi="Times New Roman"/>
        </w:rPr>
        <w:t>e » qui « </w:t>
      </w:r>
      <w:r>
        <w:rPr>
          <w:rFonts w:ascii="Times New Roman" w:hAnsi="Times New Roman"/>
          <w:i/>
        </w:rPr>
        <w:t>justifie son action par le donnant-donnant de l’échange commercial </w:t>
      </w:r>
      <w:r>
        <w:rPr>
          <w:rFonts w:ascii="Times New Roman" w:hAnsi="Times New Roman"/>
        </w:rPr>
        <w:t>».(</w:t>
      </w:r>
      <w:proofErr w:type="spellStart"/>
      <w:r>
        <w:rPr>
          <w:rFonts w:ascii="Times New Roman" w:hAnsi="Times New Roman"/>
        </w:rPr>
        <w:t>Bernoux</w:t>
      </w:r>
      <w:proofErr w:type="spellEnd"/>
      <w:r>
        <w:rPr>
          <w:rFonts w:ascii="Times New Roman" w:hAnsi="Times New Roman"/>
        </w:rPr>
        <w:t>, 1996, p. 48) .</w:t>
      </w:r>
    </w:p>
    <w:p w:rsidR="00344160" w:rsidRDefault="007E0197" w:rsidP="007E0197">
      <w:pPr>
        <w:pStyle w:val="Corpsdetexte"/>
        <w:spacing w:line="240" w:lineRule="auto"/>
        <w:rPr>
          <w:rFonts w:ascii="Times New Roman" w:hAnsi="Times New Roman"/>
        </w:rPr>
      </w:pPr>
      <w:r>
        <w:rPr>
          <w:rFonts w:ascii="Times New Roman" w:hAnsi="Times New Roman"/>
        </w:rPr>
        <w:t xml:space="preserve">Ces distinctions n’ont sans doute pas la généralité que les auteurs semblent leur prêter et aucune typologie ne saurait épuiser la réalité dès lors qu’elle s’efforce d’enfermer dans des catégories figées ce qui relève de la dynamique collective. Mais, constater que chaque être humain voit sa vie partagée, mobilisée, parfois envahie par des facteurs et des acteurs qui relèvent, dans le langage courant, du travail, de la famille, de la politique ou du syndicalisme, de l’action associative ou citoyenne ou, dans les sociétés africaines où je travaille, de la sorcellerie ou de la parenté, n’est pas exprimer une banalité. Cela relève d’une opération de déconstruction d’un principe structurel unitaire selon lequel la vie de chacun serait ordonnée par un effet d’englobement dans une catégorie unique « la vie de X ou de Y » et obéit à un effet de réduction des divergences, de l’affirmation d’une cohérence, voire même d’une rationalité. À cette prétention unitariste, on préférera une lecture plurale selon un principe de complémentarité des différences qu’on retrouvera illustrée </w:t>
      </w:r>
      <w:r w:rsidR="00344160">
        <w:rPr>
          <w:rFonts w:ascii="Times New Roman" w:hAnsi="Times New Roman"/>
        </w:rPr>
        <w:t>en fin de</w:t>
      </w:r>
      <w:r>
        <w:rPr>
          <w:rFonts w:ascii="Times New Roman" w:hAnsi="Times New Roman"/>
        </w:rPr>
        <w:t xml:space="preserve"> cette communication.</w:t>
      </w:r>
    </w:p>
    <w:p w:rsidR="00473E72" w:rsidRDefault="00473E72" w:rsidP="007E0197">
      <w:pPr>
        <w:pStyle w:val="Corpsdetexte"/>
        <w:spacing w:line="240" w:lineRule="auto"/>
        <w:rPr>
          <w:rFonts w:ascii="Times New Roman" w:hAnsi="Times New Roman"/>
        </w:rPr>
      </w:pPr>
    </w:p>
    <w:p w:rsidR="007E0197" w:rsidRDefault="007E0197" w:rsidP="007E0197">
      <w:pPr>
        <w:pStyle w:val="Corpsdetexte"/>
        <w:spacing w:line="240" w:lineRule="auto"/>
        <w:rPr>
          <w:rFonts w:ascii="Times New Roman" w:hAnsi="Times New Roman"/>
        </w:rPr>
      </w:pPr>
    </w:p>
    <w:p w:rsidR="007E0197" w:rsidRPr="00980461" w:rsidRDefault="007E0197" w:rsidP="007E0197">
      <w:pPr>
        <w:pStyle w:val="Corpsdetexte"/>
        <w:spacing w:line="240" w:lineRule="auto"/>
        <w:rPr>
          <w:rFonts w:ascii="Times New Roman" w:hAnsi="Times New Roman"/>
          <w:i/>
        </w:rPr>
      </w:pPr>
      <w:r w:rsidRPr="00980461">
        <w:rPr>
          <w:rFonts w:ascii="Times New Roman" w:hAnsi="Times New Roman"/>
          <w:i/>
        </w:rPr>
        <w:t xml:space="preserve">Les mondes comme des </w:t>
      </w:r>
      <w:r>
        <w:rPr>
          <w:rFonts w:ascii="Times New Roman" w:hAnsi="Times New Roman"/>
          <w:i/>
        </w:rPr>
        <w:t>« </w:t>
      </w:r>
      <w:r w:rsidRPr="00980461">
        <w:rPr>
          <w:rFonts w:ascii="Times New Roman" w:hAnsi="Times New Roman"/>
          <w:i/>
        </w:rPr>
        <w:t>paysages</w:t>
      </w:r>
      <w:r>
        <w:rPr>
          <w:rFonts w:ascii="Times New Roman" w:hAnsi="Times New Roman"/>
          <w:i/>
        </w:rPr>
        <w:t> »</w:t>
      </w:r>
    </w:p>
    <w:p w:rsidR="007E0197" w:rsidRDefault="007E0197" w:rsidP="007E0197">
      <w:pPr>
        <w:pStyle w:val="Corpsdetexte"/>
        <w:spacing w:line="240" w:lineRule="auto"/>
        <w:rPr>
          <w:rFonts w:ascii="Times New Roman" w:hAnsi="Times New Roman"/>
        </w:rPr>
      </w:pPr>
      <w:proofErr w:type="spellStart"/>
      <w:r>
        <w:rPr>
          <w:rFonts w:ascii="Times New Roman" w:hAnsi="Times New Roman"/>
        </w:rPr>
        <w:t>Arjun</w:t>
      </w:r>
      <w:proofErr w:type="spellEnd"/>
      <w:r>
        <w:rPr>
          <w:rFonts w:ascii="Times New Roman" w:hAnsi="Times New Roman"/>
        </w:rPr>
        <w:t xml:space="preserve"> </w:t>
      </w:r>
      <w:proofErr w:type="spellStart"/>
      <w:r>
        <w:rPr>
          <w:rFonts w:ascii="Times New Roman" w:hAnsi="Times New Roman"/>
        </w:rPr>
        <w:t>Appadurai</w:t>
      </w:r>
      <w:proofErr w:type="spellEnd"/>
      <w:r>
        <w:rPr>
          <w:rFonts w:ascii="Times New Roman" w:hAnsi="Times New Roman"/>
        </w:rPr>
        <w:t>,(2005[1996]) privilégiant dans ses analyses le rôle de l’imagination, cherche à décrire, à partir de la notion de « mondes imaginés »  de Benedict Anderson (Anderson, 1996), ce qu’il appelle des « paysages »(</w:t>
      </w:r>
      <w:proofErr w:type="spellStart"/>
      <w:r>
        <w:rPr>
          <w:rFonts w:ascii="Times New Roman" w:hAnsi="Times New Roman"/>
        </w:rPr>
        <w:t>l</w:t>
      </w:r>
      <w:r>
        <w:rPr>
          <w:rFonts w:ascii="Times New Roman" w:hAnsi="Times New Roman"/>
          <w:i/>
        </w:rPr>
        <w:t>andscapes</w:t>
      </w:r>
      <w:proofErr w:type="spellEnd"/>
      <w:r>
        <w:rPr>
          <w:rFonts w:ascii="Times New Roman" w:hAnsi="Times New Roman"/>
        </w:rPr>
        <w:t xml:space="preserve">). Sa démarche a pour objet de restituer </w:t>
      </w:r>
      <w:r>
        <w:rPr>
          <w:rFonts w:ascii="Times New Roman" w:hAnsi="Times New Roman"/>
          <w:i/>
        </w:rPr>
        <w:t>« les multiples mondes constitués par les imaginaires historiquement situés de personnes ou de groupes dispersés sur toute la planète </w:t>
      </w:r>
      <w:r>
        <w:rPr>
          <w:rFonts w:ascii="Times New Roman" w:hAnsi="Times New Roman"/>
        </w:rPr>
        <w:t>». (p. 71) Il les considère aussi comme « </w:t>
      </w:r>
      <w:r>
        <w:rPr>
          <w:rFonts w:ascii="Times New Roman" w:hAnsi="Times New Roman"/>
          <w:i/>
        </w:rPr>
        <w:t>des dimensions des flux culturels globaux </w:t>
      </w:r>
      <w:r>
        <w:rPr>
          <w:rFonts w:ascii="Times New Roman" w:hAnsi="Times New Roman"/>
        </w:rPr>
        <w:t>» Il distingue ainsi :</w:t>
      </w:r>
    </w:p>
    <w:p w:rsidR="007E0197" w:rsidRDefault="007E0197" w:rsidP="007E0197">
      <w:pPr>
        <w:pStyle w:val="Corpsdetexte"/>
        <w:spacing w:line="240" w:lineRule="auto"/>
        <w:ind w:left="567"/>
        <w:rPr>
          <w:rFonts w:ascii="Times New Roman" w:hAnsi="Times New Roman"/>
          <w:i/>
        </w:rPr>
      </w:pPr>
      <w:r>
        <w:rPr>
          <w:rFonts w:ascii="Times New Roman" w:hAnsi="Times New Roman"/>
          <w:i/>
        </w:rPr>
        <w:t xml:space="preserve">« les </w:t>
      </w:r>
      <w:proofErr w:type="spellStart"/>
      <w:r>
        <w:rPr>
          <w:rFonts w:ascii="Times New Roman" w:hAnsi="Times New Roman"/>
        </w:rPr>
        <w:t>ethnoscape</w:t>
      </w:r>
      <w:r>
        <w:rPr>
          <w:rFonts w:ascii="Times New Roman" w:hAnsi="Times New Roman"/>
          <w:i/>
        </w:rPr>
        <w:t>s</w:t>
      </w:r>
      <w:proofErr w:type="spellEnd"/>
      <w:r>
        <w:rPr>
          <w:rFonts w:ascii="Times New Roman" w:hAnsi="Times New Roman"/>
          <w:i/>
        </w:rPr>
        <w:t xml:space="preserve">, les </w:t>
      </w:r>
      <w:proofErr w:type="spellStart"/>
      <w:r>
        <w:rPr>
          <w:rFonts w:ascii="Times New Roman" w:hAnsi="Times New Roman"/>
        </w:rPr>
        <w:t>médioscape</w:t>
      </w:r>
      <w:r>
        <w:rPr>
          <w:rFonts w:ascii="Times New Roman" w:hAnsi="Times New Roman"/>
          <w:i/>
        </w:rPr>
        <w:t>s</w:t>
      </w:r>
      <w:proofErr w:type="spellEnd"/>
      <w:r>
        <w:rPr>
          <w:rFonts w:ascii="Times New Roman" w:hAnsi="Times New Roman"/>
          <w:i/>
        </w:rPr>
        <w:t xml:space="preserve">, les </w:t>
      </w:r>
      <w:proofErr w:type="spellStart"/>
      <w:r>
        <w:rPr>
          <w:rFonts w:ascii="Times New Roman" w:hAnsi="Times New Roman"/>
        </w:rPr>
        <w:t>technoscap</w:t>
      </w:r>
      <w:r>
        <w:rPr>
          <w:rFonts w:ascii="Times New Roman" w:hAnsi="Times New Roman"/>
          <w:i/>
        </w:rPr>
        <w:t>es</w:t>
      </w:r>
      <w:proofErr w:type="spellEnd"/>
      <w:r>
        <w:rPr>
          <w:rFonts w:ascii="Times New Roman" w:hAnsi="Times New Roman"/>
          <w:i/>
        </w:rPr>
        <w:t xml:space="preserve">, </w:t>
      </w:r>
      <w:r>
        <w:rPr>
          <w:rFonts w:ascii="Times New Roman" w:hAnsi="Times New Roman"/>
        </w:rPr>
        <w:t xml:space="preserve">les </w:t>
      </w:r>
      <w:proofErr w:type="spellStart"/>
      <w:r>
        <w:rPr>
          <w:rFonts w:ascii="Times New Roman" w:hAnsi="Times New Roman"/>
        </w:rPr>
        <w:t>financescapes</w:t>
      </w:r>
      <w:proofErr w:type="spellEnd"/>
      <w:r>
        <w:rPr>
          <w:rFonts w:ascii="Times New Roman" w:hAnsi="Times New Roman"/>
          <w:i/>
        </w:rPr>
        <w:t xml:space="preserve"> et </w:t>
      </w:r>
      <w:r>
        <w:rPr>
          <w:rFonts w:ascii="Times New Roman" w:hAnsi="Times New Roman"/>
        </w:rPr>
        <w:t xml:space="preserve">les </w:t>
      </w:r>
      <w:proofErr w:type="spellStart"/>
      <w:r>
        <w:rPr>
          <w:rFonts w:ascii="Times New Roman" w:hAnsi="Times New Roman"/>
        </w:rPr>
        <w:t>idéoscapes</w:t>
      </w:r>
      <w:proofErr w:type="spellEnd"/>
      <w:r>
        <w:rPr>
          <w:rFonts w:ascii="Times New Roman" w:hAnsi="Times New Roman"/>
          <w:i/>
        </w:rPr>
        <w:t xml:space="preserve">. Le suffixe </w:t>
      </w:r>
      <w:r>
        <w:rPr>
          <w:rFonts w:ascii="Times New Roman" w:hAnsi="Times New Roman"/>
        </w:rPr>
        <w:t>scap</w:t>
      </w:r>
      <w:r>
        <w:rPr>
          <w:rFonts w:ascii="Times New Roman" w:hAnsi="Times New Roman"/>
          <w:i/>
        </w:rPr>
        <w:t xml:space="preserve">e, tiré de </w:t>
      </w:r>
      <w:proofErr w:type="spellStart"/>
      <w:r>
        <w:rPr>
          <w:rFonts w:ascii="Times New Roman" w:hAnsi="Times New Roman"/>
        </w:rPr>
        <w:t>landscap</w:t>
      </w:r>
      <w:r>
        <w:rPr>
          <w:rFonts w:ascii="Times New Roman" w:hAnsi="Times New Roman"/>
          <w:i/>
        </w:rPr>
        <w:t>e</w:t>
      </w:r>
      <w:proofErr w:type="spellEnd"/>
      <w:r>
        <w:rPr>
          <w:rFonts w:ascii="Times New Roman" w:hAnsi="Times New Roman"/>
          <w:i/>
        </w:rPr>
        <w:t xml:space="preserve">, permet de mettre en lumière les formes fluides, irrégulières, de ces paysages sociaux, formes qui caractérisent le capital international aussi profondément que les styles d’habillement internationaux. Ces termes portant le suffixe </w:t>
      </w:r>
      <w:r>
        <w:rPr>
          <w:rFonts w:ascii="Times New Roman" w:hAnsi="Times New Roman"/>
        </w:rPr>
        <w:t>scap</w:t>
      </w:r>
      <w:r>
        <w:rPr>
          <w:rFonts w:ascii="Times New Roman" w:hAnsi="Times New Roman"/>
          <w:i/>
        </w:rPr>
        <w:t xml:space="preserve">e indiquent aussi qu’il n’est pas question ici de relations objectivement données qui auraient le même aspect, quel que soit l’angle par où on les aborde, mais qu’il s’agit plutôt de constructions profondément mises en perspective, infléchies par la situation historique, linguistique et politique de différents types d’acteurs : </w:t>
      </w:r>
      <w:proofErr w:type="spellStart"/>
      <w:r>
        <w:rPr>
          <w:rFonts w:ascii="Times New Roman" w:hAnsi="Times New Roman"/>
          <w:i/>
        </w:rPr>
        <w:t>États-nations</w:t>
      </w:r>
      <w:proofErr w:type="spellEnd"/>
      <w:r>
        <w:rPr>
          <w:rFonts w:ascii="Times New Roman" w:hAnsi="Times New Roman"/>
          <w:i/>
        </w:rPr>
        <w:t xml:space="preserve">, multinationales, communautés diasporiques (...) En fait, l’acteur individuel est le dernier lieu de cet ensemble de paysages mis en perspective, car ces derniers sont finalement parcourus par des agents qui connaissent et constituent à la fois des formations plus larges, à partir notamment de leur propre sentiment de ce qu’offrent ces paysages. » </w:t>
      </w:r>
      <w:r>
        <w:rPr>
          <w:rFonts w:ascii="Times New Roman" w:hAnsi="Times New Roman"/>
        </w:rPr>
        <w:t>(p. 70-71</w:t>
      </w:r>
      <w:r>
        <w:rPr>
          <w:rFonts w:ascii="Times New Roman" w:hAnsi="Times New Roman"/>
          <w:i/>
        </w:rPr>
        <w:t>)</w:t>
      </w:r>
    </w:p>
    <w:p w:rsidR="007E0197" w:rsidRDefault="007E0197" w:rsidP="007E0197">
      <w:pPr>
        <w:ind w:left="567"/>
        <w:jc w:val="both"/>
        <w:rPr>
          <w:rFonts w:ascii="Times New Roman" w:hAnsi="Times New Roman"/>
        </w:rPr>
      </w:pPr>
      <w:r>
        <w:rPr>
          <w:rFonts w:ascii="Times New Roman" w:hAnsi="Times New Roman"/>
        </w:rPr>
        <w:t>Il précise également : « </w:t>
      </w:r>
      <w:r>
        <w:rPr>
          <w:rFonts w:ascii="Times New Roman" w:hAnsi="Times New Roman"/>
          <w:i/>
        </w:rPr>
        <w:t xml:space="preserve">Il ne s’agit pas de dire qu’il n’existe pas de communautés, de réseaux de parenté, d’amitiés, de travail et de loisir relativement stables, ni de naissance, de résidence et d’autres formes d’affiliation ; mais que la chaîne de ces stabilités est partout transpercée par la trame du mouvement humain, à mesure que davantage de personnes et de groupes affrontent les réalités du déplacement par la contrainte ou le fantasme du désir de déplacement ». </w:t>
      </w:r>
      <w:r>
        <w:rPr>
          <w:rFonts w:ascii="Times New Roman" w:hAnsi="Times New Roman"/>
        </w:rPr>
        <w:t>(p.71-72)</w:t>
      </w:r>
    </w:p>
    <w:p w:rsidR="007E0197" w:rsidRPr="00980461" w:rsidRDefault="007E0197" w:rsidP="007E0197">
      <w:pPr>
        <w:jc w:val="both"/>
        <w:rPr>
          <w:rFonts w:ascii="Times New Roman" w:hAnsi="Times New Roman"/>
          <w:i/>
        </w:rPr>
      </w:pPr>
      <w:r w:rsidRPr="00980461">
        <w:rPr>
          <w:rFonts w:ascii="Times New Roman" w:hAnsi="Times New Roman"/>
          <w:i/>
        </w:rPr>
        <w:t>Une dynamique de mondes en constante reformulation</w:t>
      </w:r>
    </w:p>
    <w:p w:rsidR="007E0197" w:rsidRDefault="007E0197" w:rsidP="007E0197">
      <w:pPr>
        <w:jc w:val="both"/>
        <w:rPr>
          <w:rFonts w:ascii="Times New Roman" w:hAnsi="Times New Roman"/>
        </w:rPr>
      </w:pPr>
      <w:r>
        <w:rPr>
          <w:rFonts w:ascii="Times New Roman" w:hAnsi="Times New Roman"/>
        </w:rPr>
        <w:t>À la suite de cette double constatation d’une pluralité des mondes, proposons un commentaire puis une ouverture.</w:t>
      </w:r>
    </w:p>
    <w:p w:rsidR="007E0197" w:rsidRDefault="007E0197" w:rsidP="007E0197">
      <w:pPr>
        <w:ind w:firstLine="708"/>
        <w:jc w:val="both"/>
        <w:rPr>
          <w:rFonts w:ascii="Times New Roman" w:hAnsi="Times New Roman"/>
        </w:rPr>
      </w:pPr>
      <w:r>
        <w:rPr>
          <w:rFonts w:ascii="Times New Roman" w:hAnsi="Times New Roman"/>
        </w:rPr>
        <w:t>- Un vocabulaire emprunté à la physique semble ici s’imposer : flux, forces, champs magnétiques, polarités. Nous sommes devant des dynamiques immatérielles, issues de l’imaginaire, produisant des représentations d’espaces et qui peuvent se cristalliser dans les « </w:t>
      </w:r>
      <w:r>
        <w:rPr>
          <w:rFonts w:ascii="Times New Roman" w:hAnsi="Times New Roman"/>
          <w:i/>
        </w:rPr>
        <w:t>espaces de représentation </w:t>
      </w:r>
      <w:r>
        <w:rPr>
          <w:rFonts w:ascii="Times New Roman" w:hAnsi="Times New Roman"/>
        </w:rPr>
        <w:t>» (</w:t>
      </w:r>
      <w:proofErr w:type="spellStart"/>
      <w:r>
        <w:rPr>
          <w:rFonts w:ascii="Times New Roman" w:hAnsi="Times New Roman"/>
        </w:rPr>
        <w:t>Crousse</w:t>
      </w:r>
      <w:proofErr w:type="spellEnd"/>
      <w:r>
        <w:rPr>
          <w:rFonts w:ascii="Times New Roman" w:hAnsi="Times New Roman"/>
        </w:rPr>
        <w:t>, Le Bris, Le Roy, 1986</w:t>
      </w:r>
      <w:r w:rsidR="00E0663B">
        <w:rPr>
          <w:rFonts w:ascii="Times New Roman" w:hAnsi="Times New Roman"/>
        </w:rPr>
        <w:t>, Le Roy, 2011</w:t>
      </w:r>
      <w:r>
        <w:rPr>
          <w:rFonts w:ascii="Times New Roman" w:hAnsi="Times New Roman"/>
        </w:rPr>
        <w:t>). Ces espaces sont plutôt  mentaux que physiques et peuvent être appelé Wall Street quand on évoque la finance internationale, Hollywood pour le cinéma, ou Harry Potter pour la mondialisation de la littérature, le web ou Rolland Garros en oubliant que ce fut un  pionnier de l’aviation avant de donner son nom à une des arènes du tennis mondial.</w:t>
      </w:r>
    </w:p>
    <w:p w:rsidR="007E0197" w:rsidRDefault="007E0197" w:rsidP="007E0197">
      <w:pPr>
        <w:ind w:firstLine="708"/>
        <w:jc w:val="both"/>
        <w:rPr>
          <w:rFonts w:ascii="Times New Roman" w:hAnsi="Times New Roman"/>
        </w:rPr>
      </w:pPr>
      <w:r>
        <w:rPr>
          <w:rFonts w:ascii="Times New Roman" w:hAnsi="Times New Roman"/>
        </w:rPr>
        <w:t xml:space="preserve">- Pour traduire cette idée de mondes imaginés selon des espaces mentaux construits individuellement ou collectivement autour d’objets symboliques, au sens du </w:t>
      </w:r>
      <w:proofErr w:type="spellStart"/>
      <w:r>
        <w:rPr>
          <w:rFonts w:ascii="Times New Roman" w:hAnsi="Times New Roman"/>
          <w:i/>
        </w:rPr>
        <w:t>sumbolos</w:t>
      </w:r>
      <w:proofErr w:type="spellEnd"/>
      <w:r>
        <w:rPr>
          <w:rFonts w:ascii="Times New Roman" w:hAnsi="Times New Roman"/>
          <w:i/>
        </w:rPr>
        <w:t xml:space="preserve"> </w:t>
      </w:r>
      <w:r>
        <w:rPr>
          <w:rFonts w:ascii="Times New Roman" w:hAnsi="Times New Roman"/>
        </w:rPr>
        <w:t>grec, ce sceau qu’on partage et permet à l’un de reconnaître l’envoyé de l’autre, je propose la notion d’</w:t>
      </w:r>
      <w:proofErr w:type="spellStart"/>
      <w:r>
        <w:rPr>
          <w:rFonts w:ascii="Times New Roman" w:hAnsi="Times New Roman"/>
          <w:i/>
        </w:rPr>
        <w:t>ethoscape</w:t>
      </w:r>
      <w:proofErr w:type="spellEnd"/>
      <w:r>
        <w:rPr>
          <w:rFonts w:ascii="Times New Roman" w:hAnsi="Times New Roman"/>
          <w:i/>
        </w:rPr>
        <w:t xml:space="preserve"> . </w:t>
      </w:r>
      <w:r>
        <w:rPr>
          <w:rFonts w:ascii="Times New Roman" w:hAnsi="Times New Roman"/>
        </w:rPr>
        <w:t>Cette notion ne diffère, on le constate, du concept d’</w:t>
      </w:r>
      <w:proofErr w:type="spellStart"/>
      <w:r>
        <w:rPr>
          <w:rFonts w:ascii="Times New Roman" w:hAnsi="Times New Roman"/>
          <w:i/>
        </w:rPr>
        <w:t>ethnoscape</w:t>
      </w:r>
      <w:proofErr w:type="spellEnd"/>
      <w:r>
        <w:rPr>
          <w:rFonts w:ascii="Times New Roman" w:hAnsi="Times New Roman"/>
        </w:rPr>
        <w:t xml:space="preserve"> d’</w:t>
      </w:r>
      <w:proofErr w:type="spellStart"/>
      <w:r>
        <w:rPr>
          <w:rFonts w:ascii="Times New Roman" w:hAnsi="Times New Roman"/>
        </w:rPr>
        <w:t>Adun</w:t>
      </w:r>
      <w:proofErr w:type="spellEnd"/>
      <w:r>
        <w:rPr>
          <w:rFonts w:ascii="Times New Roman" w:hAnsi="Times New Roman"/>
        </w:rPr>
        <w:t xml:space="preserve"> </w:t>
      </w:r>
      <w:proofErr w:type="spellStart"/>
      <w:r>
        <w:rPr>
          <w:rFonts w:ascii="Times New Roman" w:hAnsi="Times New Roman"/>
        </w:rPr>
        <w:t>Appadurai</w:t>
      </w:r>
      <w:proofErr w:type="spellEnd"/>
      <w:r>
        <w:rPr>
          <w:rFonts w:ascii="Times New Roman" w:hAnsi="Times New Roman"/>
        </w:rPr>
        <w:t xml:space="preserve"> que par un « n », un « </w:t>
      </w:r>
      <w:r>
        <w:rPr>
          <w:rFonts w:ascii="Times New Roman" w:hAnsi="Times New Roman"/>
          <w:b/>
        </w:rPr>
        <w:sym w:font="Symbol" w:char="F06E"/>
      </w:r>
      <w:r>
        <w:rPr>
          <w:rFonts w:ascii="Times New Roman" w:hAnsi="Times New Roman"/>
        </w:rPr>
        <w:t xml:space="preserve"> » en grec, mais cette différence nous paraît importante à travers son signifiant. </w:t>
      </w:r>
      <w:r>
        <w:rPr>
          <w:rFonts w:ascii="Times New Roman" w:hAnsi="Times New Roman"/>
          <w:i/>
        </w:rPr>
        <w:t>Ethno</w:t>
      </w:r>
      <w:r>
        <w:rPr>
          <w:rFonts w:ascii="Times New Roman" w:hAnsi="Times New Roman"/>
        </w:rPr>
        <w:t xml:space="preserve">s désigne en grec une classe d’êtres humains selon un principe commun d’origine ou d’identité alors que </w:t>
      </w:r>
      <w:r>
        <w:rPr>
          <w:rFonts w:ascii="Times New Roman" w:hAnsi="Times New Roman"/>
          <w:i/>
        </w:rPr>
        <w:t>ethos</w:t>
      </w:r>
      <w:r>
        <w:rPr>
          <w:rFonts w:ascii="Times New Roman" w:hAnsi="Times New Roman"/>
        </w:rPr>
        <w:t xml:space="preserve">  c’est ce qu’on partage en termes d’habitudes, de représentations du quotidien, ce qu’on a coutume de faire et, plus largement, les usages. </w:t>
      </w:r>
      <w:proofErr w:type="spellStart"/>
      <w:r>
        <w:rPr>
          <w:rFonts w:ascii="Times New Roman" w:hAnsi="Times New Roman"/>
        </w:rPr>
        <w:t>Ethoscape</w:t>
      </w:r>
      <w:proofErr w:type="spellEnd"/>
      <w:r>
        <w:rPr>
          <w:rFonts w:ascii="Times New Roman" w:hAnsi="Times New Roman"/>
        </w:rPr>
        <w:t xml:space="preserve"> serait donc un dispositif social particulier utilisé selon la topologie adoptée, le « monde » dans lequel on se situe ou auquel on se réfère.  Le néologisme </w:t>
      </w:r>
      <w:proofErr w:type="spellStart"/>
      <w:r>
        <w:rPr>
          <w:rFonts w:ascii="Times New Roman" w:hAnsi="Times New Roman"/>
          <w:i/>
        </w:rPr>
        <w:t>ethoscap</w:t>
      </w:r>
      <w:r>
        <w:rPr>
          <w:rFonts w:ascii="Times New Roman" w:hAnsi="Times New Roman"/>
        </w:rPr>
        <w:t>e</w:t>
      </w:r>
      <w:proofErr w:type="spellEnd"/>
      <w:r>
        <w:rPr>
          <w:rFonts w:ascii="Times New Roman" w:hAnsi="Times New Roman"/>
        </w:rPr>
        <w:t xml:space="preserve"> nous paraît à la fois maintenir, par le suffixe, cette référence essentielle aux espaces de représentations que conforte l’approche de l’anthropologue </w:t>
      </w:r>
      <w:proofErr w:type="spellStart"/>
      <w:r>
        <w:rPr>
          <w:rFonts w:ascii="Times New Roman" w:hAnsi="Times New Roman"/>
        </w:rPr>
        <w:t>indo-américain</w:t>
      </w:r>
      <w:proofErr w:type="spellEnd"/>
      <w:r>
        <w:rPr>
          <w:rFonts w:ascii="Times New Roman" w:hAnsi="Times New Roman"/>
        </w:rPr>
        <w:t xml:space="preserve"> mais aussi ordonner la démarche selon l’incidence des dispositifs d’objets et de comportements auxquels se réfèrent nos deux sociologues. En outre, cette proposition non seulement rend complémentaires deux lectures s’enracinant dans des traditions intellectuelles qui peuvent s’ignorer mais également peut s’ouvrir à la théorie des habitus de Pierre Bourdieu ainsi qu’à celle des fondements de la juridicité à partir de l’image du tripode dont les habitus sont un des pieds (Le Roy, 1999). </w:t>
      </w:r>
    </w:p>
    <w:p w:rsidR="00014C82" w:rsidRPr="00100757" w:rsidRDefault="00100757" w:rsidP="007E0197">
      <w:pPr>
        <w:jc w:val="both"/>
        <w:rPr>
          <w:b/>
          <w:i/>
        </w:rPr>
      </w:pPr>
      <w:r w:rsidRPr="00100757">
        <w:rPr>
          <w:b/>
          <w:i/>
        </w:rPr>
        <w:t xml:space="preserve">Les ethos du </w:t>
      </w:r>
      <w:proofErr w:type="spellStart"/>
      <w:r w:rsidRPr="00100757">
        <w:rPr>
          <w:b/>
          <w:i/>
        </w:rPr>
        <w:t>multisensus</w:t>
      </w:r>
      <w:proofErr w:type="spellEnd"/>
      <w:r w:rsidR="00B83538">
        <w:rPr>
          <w:b/>
          <w:i/>
        </w:rPr>
        <w:t xml:space="preserve"> pour formaliser un agôn </w:t>
      </w:r>
      <w:proofErr w:type="spellStart"/>
      <w:r w:rsidR="00B83538">
        <w:rPr>
          <w:b/>
          <w:i/>
        </w:rPr>
        <w:t>transmoderne</w:t>
      </w:r>
      <w:proofErr w:type="spellEnd"/>
    </w:p>
    <w:p w:rsidR="008619DB" w:rsidRDefault="00433B9C" w:rsidP="00AA244B">
      <w:pPr>
        <w:jc w:val="both"/>
      </w:pPr>
      <w:r>
        <w:t>Comment aborder les manières de « faire société »</w:t>
      </w:r>
      <w:r w:rsidR="001B1C6C">
        <w:t xml:space="preserve"> </w:t>
      </w:r>
      <w:r>
        <w:t>(l’</w:t>
      </w:r>
      <w:proofErr w:type="spellStart"/>
      <w:r>
        <w:t>agon</w:t>
      </w:r>
      <w:proofErr w:type="spellEnd"/>
      <w:r>
        <w:t>) et de dévoiler les formes de gouvernance (l’</w:t>
      </w:r>
      <w:proofErr w:type="spellStart"/>
      <w:r>
        <w:t>agonisme</w:t>
      </w:r>
      <w:proofErr w:type="spellEnd"/>
      <w:r>
        <w:t xml:space="preserve">) adaptées à l’époque dans laquelle nous entrons ? </w:t>
      </w:r>
    </w:p>
    <w:p w:rsidR="008619DB" w:rsidRDefault="008619DB" w:rsidP="00AA244B">
      <w:pPr>
        <w:jc w:val="both"/>
      </w:pPr>
      <w:r>
        <w:t>La complexité des situations nous oblige à aborder ici une véritable rupture dans nos systèmes de conn</w:t>
      </w:r>
      <w:r w:rsidR="00B10F9E">
        <w:t>a</w:t>
      </w:r>
      <w:r>
        <w:t>issances puis à en identifier les premiers enjeux.</w:t>
      </w:r>
    </w:p>
    <w:p w:rsidR="008619DB" w:rsidRDefault="008619DB" w:rsidP="00AA244B">
      <w:pPr>
        <w:jc w:val="both"/>
      </w:pPr>
      <w:r w:rsidRPr="008619DB">
        <w:rPr>
          <w:i/>
        </w:rPr>
        <w:t xml:space="preserve">Une rupture épistémologique à concrétiser pour </w:t>
      </w:r>
      <w:r w:rsidR="00100757" w:rsidRPr="008619DB">
        <w:rPr>
          <w:i/>
        </w:rPr>
        <w:t>penser l’or</w:t>
      </w:r>
      <w:r w:rsidR="0042726F" w:rsidRPr="008619DB">
        <w:rPr>
          <w:i/>
        </w:rPr>
        <w:t>g</w:t>
      </w:r>
      <w:r w:rsidR="00100757" w:rsidRPr="008619DB">
        <w:rPr>
          <w:i/>
        </w:rPr>
        <w:t>anisation</w:t>
      </w:r>
      <w:r w:rsidR="0042726F" w:rsidRPr="008619DB">
        <w:rPr>
          <w:i/>
        </w:rPr>
        <w:t xml:space="preserve"> </w:t>
      </w:r>
      <w:r w:rsidR="00100757" w:rsidRPr="008619DB">
        <w:rPr>
          <w:i/>
        </w:rPr>
        <w:t>de cet</w:t>
      </w:r>
      <w:r w:rsidR="0042726F" w:rsidRPr="008619DB">
        <w:rPr>
          <w:i/>
        </w:rPr>
        <w:t>t</w:t>
      </w:r>
      <w:r w:rsidR="00100757" w:rsidRPr="008619DB">
        <w:rPr>
          <w:i/>
        </w:rPr>
        <w:t>e multipl</w:t>
      </w:r>
      <w:r w:rsidR="0042726F" w:rsidRPr="008619DB">
        <w:rPr>
          <w:i/>
        </w:rPr>
        <w:t>icité des mondes</w:t>
      </w:r>
    </w:p>
    <w:p w:rsidR="00B10F9E" w:rsidRDefault="00100757" w:rsidP="00AA244B">
      <w:pPr>
        <w:jc w:val="both"/>
      </w:pPr>
      <w:r>
        <w:t xml:space="preserve"> </w:t>
      </w:r>
      <w:r w:rsidR="008619DB">
        <w:t xml:space="preserve">Le mode usuel d’organisation de nos raisonnements dans la perspective moderne passait </w:t>
      </w:r>
      <w:r>
        <w:t xml:space="preserve">par </w:t>
      </w:r>
      <w:r w:rsidR="008619DB">
        <w:t>la mise en opposition des données</w:t>
      </w:r>
      <w:r>
        <w:t xml:space="preserve"> en v</w:t>
      </w:r>
      <w:r w:rsidR="0042726F">
        <w:t xml:space="preserve">ue de leur réduction </w:t>
      </w:r>
      <w:r w:rsidR="00551868">
        <w:t>à deux termes</w:t>
      </w:r>
      <w:r w:rsidR="00130831">
        <w:t xml:space="preserve"> </w:t>
      </w:r>
      <w:r w:rsidR="0042726F">
        <w:t xml:space="preserve">pour favoriser </w:t>
      </w:r>
      <w:r w:rsidR="008619DB">
        <w:t>le principe d’unité qui est la clef de compréhension de notre vision du monde</w:t>
      </w:r>
      <w:r w:rsidR="00454E1C">
        <w:t xml:space="preserve"> (voir quatrième postulat)</w:t>
      </w:r>
      <w:r w:rsidR="008619DB">
        <w:t xml:space="preserve">. Ainsi, nous raisonnons </w:t>
      </w:r>
      <w:r w:rsidR="003439A3">
        <w:t>habituellement</w:t>
      </w:r>
      <w:r w:rsidR="008619DB">
        <w:t xml:space="preserve"> en opposant consensus et </w:t>
      </w:r>
      <w:proofErr w:type="spellStart"/>
      <w:r w:rsidR="008619DB">
        <w:t>dissensus</w:t>
      </w:r>
      <w:proofErr w:type="spellEnd"/>
      <w:r w:rsidR="00551868">
        <w:t xml:space="preserve"> et</w:t>
      </w:r>
      <w:r w:rsidR="00454E1C">
        <w:t>,</w:t>
      </w:r>
      <w:r w:rsidR="00551868">
        <w:t xml:space="preserve"> </w:t>
      </w:r>
      <w:r w:rsidR="00551868" w:rsidRPr="00454E1C">
        <w:rPr>
          <w:i/>
        </w:rPr>
        <w:t>de facto</w:t>
      </w:r>
      <w:r w:rsidR="00551868">
        <w:t xml:space="preserve">, </w:t>
      </w:r>
      <w:r w:rsidR="00454E1C">
        <w:t xml:space="preserve">en préférant le consensus au </w:t>
      </w:r>
      <w:proofErr w:type="spellStart"/>
      <w:r w:rsidR="00454E1C">
        <w:t>di</w:t>
      </w:r>
      <w:r w:rsidR="001B1C6C">
        <w:t>s</w:t>
      </w:r>
      <w:r w:rsidR="00551868">
        <w:t>sensus</w:t>
      </w:r>
      <w:proofErr w:type="spellEnd"/>
      <w:r w:rsidR="001B1C6C">
        <w:t>, l’ordre au désordre</w:t>
      </w:r>
      <w:r w:rsidR="003439A3">
        <w:t>. Il</w:t>
      </w:r>
      <w:r w:rsidR="005C4A69">
        <w:t xml:space="preserve"> a pris la forme du principe du contraire,</w:t>
      </w:r>
      <w:r w:rsidR="003439A3">
        <w:t xml:space="preserve"> car l’un est conçu comme le contraire de l’autre. Il est</w:t>
      </w:r>
      <w:r w:rsidR="005C4A69">
        <w:t xml:space="preserve"> philosophiquement bien connu </w:t>
      </w:r>
      <w:r w:rsidR="003439A3">
        <w:t xml:space="preserve">au moins </w:t>
      </w:r>
      <w:r w:rsidR="005C4A69">
        <w:t xml:space="preserve">depuis Aristote et </w:t>
      </w:r>
      <w:r w:rsidR="001B1C6C">
        <w:t>il a été</w:t>
      </w:r>
      <w:r w:rsidR="005C4A69">
        <w:t xml:space="preserve"> tr</w:t>
      </w:r>
      <w:r w:rsidR="003439A3">
        <w:t>a</w:t>
      </w:r>
      <w:r w:rsidR="005C4A69">
        <w:t>vaill</w:t>
      </w:r>
      <w:r w:rsidR="003439A3">
        <w:t>é anthropologiquement depuis Lo</w:t>
      </w:r>
      <w:r w:rsidR="005C4A69">
        <w:t>u</w:t>
      </w:r>
      <w:r w:rsidR="003439A3">
        <w:t>is Dum</w:t>
      </w:r>
      <w:r w:rsidR="00B10F9E">
        <w:t>ont qui en a fait</w:t>
      </w:r>
      <w:r w:rsidR="005C4A69">
        <w:t xml:space="preserve">, dans ses </w:t>
      </w:r>
      <w:r w:rsidR="003439A3">
        <w:t>« </w:t>
      </w:r>
      <w:r w:rsidR="005C4A69" w:rsidRPr="003439A3">
        <w:rPr>
          <w:i/>
        </w:rPr>
        <w:t>Essais sur l’individualisme</w:t>
      </w:r>
      <w:r w:rsidR="005C4A69">
        <w:t> »</w:t>
      </w:r>
      <w:r w:rsidR="00B10F9E">
        <w:t xml:space="preserve"> (Dumont, 1984)</w:t>
      </w:r>
      <w:r w:rsidR="005C4A69">
        <w:t xml:space="preserve">  </w:t>
      </w:r>
      <w:r w:rsidR="001B1C6C">
        <w:t>un outil</w:t>
      </w:r>
      <w:r w:rsidR="005C4A69">
        <w:t xml:space="preserve"> de base de l’idéologie moderne.</w:t>
      </w:r>
      <w:r w:rsidR="003439A3">
        <w:t xml:space="preserve"> Dans mon </w:t>
      </w:r>
      <w:r w:rsidR="00A74AC1">
        <w:rPr>
          <w:i/>
        </w:rPr>
        <w:t>Jeu des lois</w:t>
      </w:r>
      <w:r w:rsidR="00A74AC1">
        <w:t xml:space="preserve"> (Le Roy, 1999), j’en ai dévoilé des applications dans de nombreux domaines et, plus récemment, </w:t>
      </w:r>
      <w:r w:rsidR="00A74AC1">
        <w:rPr>
          <w:i/>
        </w:rPr>
        <w:t>La terre de l’autre, une anthropologie des régimes d’appropriation foncière</w:t>
      </w:r>
      <w:r w:rsidR="00B10F9E">
        <w:t xml:space="preserve"> (Le Roy, 2011)  a montré comment le principe du contraire</w:t>
      </w:r>
      <w:r w:rsidR="00A74AC1">
        <w:t xml:space="preserve"> avait saturé la théorie des droits de propriété, interdisant toute approche compréhensive des modes de gestions « en communs ». </w:t>
      </w:r>
    </w:p>
    <w:p w:rsidR="00014C82" w:rsidRPr="00A74AC1" w:rsidRDefault="00B10F9E" w:rsidP="00AA244B">
      <w:pPr>
        <w:jc w:val="both"/>
      </w:pPr>
      <w:r>
        <w:t xml:space="preserve">Le principe du contraire présente de grandes vertus dans la construction d’une science « moderne » en permettant d’élaborer des taxinomies </w:t>
      </w:r>
      <w:r w:rsidR="00551868">
        <w:t>et des systèmes conceptuels de plus en plus fin</w:t>
      </w:r>
      <w:r>
        <w:t>s, donc de mieux en mieux manipulables et modelables</w:t>
      </w:r>
      <w:r w:rsidR="00551868">
        <w:t>, voire modélisables</w:t>
      </w:r>
      <w:r>
        <w:t xml:space="preserve">. Il n’en présente pas moins le grand défaut  que soulignait Louis Dumont de masquer sous l’apparence d’une égalité de traitement une inégalité qui me paraît </w:t>
      </w:r>
      <w:r w:rsidR="00551868">
        <w:t>« </w:t>
      </w:r>
      <w:r>
        <w:t>ontologique</w:t>
      </w:r>
      <w:r w:rsidR="00551868">
        <w:t> »</w:t>
      </w:r>
      <w:r>
        <w:t xml:space="preserve"> et qui pourrait vicier substantiellement notre conception de la démocratie et de l’organisation de la société</w:t>
      </w:r>
      <w:r w:rsidR="00551868">
        <w:t>. La question  est difficile et, pas plus que Louis Dumont, je ne prétends  l’expliquer totalement ni en maîtriser tous les enjeux. Ce que je constate c’est « qu’il y a de plus égaux que d’autres » sans que les justifications avancées soient raisonnables</w:t>
      </w:r>
      <w:r w:rsidR="00167F05">
        <w:t xml:space="preserve"> et qu’une part importante du substrat des rapports de socialisation et d’association sont occultés ou caricaturés</w:t>
      </w:r>
      <w:r w:rsidR="00551868">
        <w:t xml:space="preserve">. </w:t>
      </w:r>
    </w:p>
    <w:p w:rsidR="00130831" w:rsidRDefault="00551868" w:rsidP="00AA244B">
      <w:pPr>
        <w:jc w:val="both"/>
      </w:pPr>
      <w:r>
        <w:t xml:space="preserve">Sur la base de nos travaux africanistes développés au LAJP depuis le milieu des années 1960, nous avons examiné la possibilité </w:t>
      </w:r>
      <w:r w:rsidR="008619DB">
        <w:t xml:space="preserve"> </w:t>
      </w:r>
      <w:r>
        <w:t xml:space="preserve">de généraliser le principe </w:t>
      </w:r>
      <w:r w:rsidR="008619DB">
        <w:t>de la complémentarité</w:t>
      </w:r>
      <w:r w:rsidR="00863B37">
        <w:rPr>
          <w:rStyle w:val="Marquenotebasdepage"/>
        </w:rPr>
        <w:footnoteReference w:id="3"/>
      </w:r>
      <w:r w:rsidR="008619DB">
        <w:t xml:space="preserve"> des différences</w:t>
      </w:r>
      <w:r>
        <w:t xml:space="preserve"> dès lors que c’est le pluralisme qui est au fondement de l’organisation des sociétés</w:t>
      </w:r>
      <w:r w:rsidR="008619DB">
        <w:t>.</w:t>
      </w:r>
      <w:r w:rsidR="00167F05">
        <w:t xml:space="preserve"> Dans les sociétés africaines que Michel </w:t>
      </w:r>
      <w:proofErr w:type="spellStart"/>
      <w:r w:rsidR="00167F05">
        <w:t>Alliot</w:t>
      </w:r>
      <w:proofErr w:type="spellEnd"/>
      <w:r w:rsidR="00167F05">
        <w:t xml:space="preserve">, le fondateur  du LAJP, tient pour animistes, tout est pensé en termes multiples, spécialisés et interdépendants, cette interdépendance étant la clef d’une gouvernance </w:t>
      </w:r>
      <w:r w:rsidR="00E0663B">
        <w:t xml:space="preserve">polyarchique </w:t>
      </w:r>
      <w:r w:rsidR="00167F05">
        <w:t xml:space="preserve">de type communautaire. Sans doute nos sociétés  sont-elles devenues </w:t>
      </w:r>
      <w:proofErr w:type="spellStart"/>
      <w:r w:rsidR="00167F05">
        <w:t>hyper-individualistes</w:t>
      </w:r>
      <w:proofErr w:type="spellEnd"/>
      <w:r w:rsidR="00167F05">
        <w:t xml:space="preserve"> mais cette exacerbation  des rapports individuels ne saurait cacher l’existence  de formules </w:t>
      </w:r>
      <w:proofErr w:type="spellStart"/>
      <w:r w:rsidR="00167F05">
        <w:t>néo-communautaires</w:t>
      </w:r>
      <w:proofErr w:type="spellEnd"/>
      <w:r w:rsidR="00167F05">
        <w:t xml:space="preserve"> (Le Roy, à paraître) prenant une importance déterminante à mesure que la crise économique puis politique puis culturelle affecte nos projets de société au moins dans l’espace européen. Et comme il faut en envisager les conséquences normatives, j’y ai associé une théorie de la juridicité évoquée en introduction générale où « la juridicité est plus grande que le droit, tout en le comprenant »</w:t>
      </w:r>
      <w:r w:rsidR="00863B37">
        <w:t xml:space="preserve"> (Le Roy, 2011b)</w:t>
      </w:r>
      <w:r w:rsidR="00130831">
        <w:t>. Ainsi, ce qui ne saurait relever du droit et du contrôle de l’</w:t>
      </w:r>
      <w:r w:rsidR="00130831">
        <w:rPr>
          <w:rFonts w:ascii="Cambria" w:hAnsi="Cambria"/>
        </w:rPr>
        <w:t>É</w:t>
      </w:r>
      <w:r w:rsidR="00130831">
        <w:t xml:space="preserve">tat peut relever de la juridicité s’il fait l’objet d’une </w:t>
      </w:r>
      <w:proofErr w:type="spellStart"/>
      <w:r w:rsidR="00130831">
        <w:t>sanctionnabilité</w:t>
      </w:r>
      <w:proofErr w:type="spellEnd"/>
      <w:r w:rsidR="00130831">
        <w:t xml:space="preserve">, retrouvant ici les travaux de Sally Falk Moore sur « Les champs sociaux semi-autonomes » (Moore, 1978). Lorsque la complémentarité des différences ne peut s’opérer dans le champ du droit, en retard sur les besoins de la société, c’est dans le cadre de la juridicité que cette complémentarité peut être acquise et reproduite. </w:t>
      </w:r>
    </w:p>
    <w:p w:rsidR="00130831" w:rsidRDefault="00130831" w:rsidP="00AA244B">
      <w:pPr>
        <w:jc w:val="both"/>
      </w:pPr>
      <w:r>
        <w:t xml:space="preserve">Cette démarche suppose de maîtriser trois contraintes. Elle doit être </w:t>
      </w:r>
      <w:proofErr w:type="spellStart"/>
      <w:r w:rsidRPr="00130831">
        <w:rPr>
          <w:b/>
        </w:rPr>
        <w:t>diatopique</w:t>
      </w:r>
      <w:proofErr w:type="spellEnd"/>
      <w:r>
        <w:t xml:space="preserve">, donc faire se rencontrer les acteurs dans leurs positions statutaires, </w:t>
      </w:r>
      <w:r w:rsidRPr="00130831">
        <w:rPr>
          <w:b/>
        </w:rPr>
        <w:t>dialogique</w:t>
      </w:r>
      <w:r>
        <w:t>, donc penser les logiques d’actions comme susceptibles de se rencontrer</w:t>
      </w:r>
      <w:r w:rsidR="00863B37">
        <w:t>, de ‘dialoguer’</w:t>
      </w:r>
      <w:r>
        <w:t xml:space="preserve"> et </w:t>
      </w:r>
      <w:proofErr w:type="spellStart"/>
      <w:r w:rsidRPr="00130831">
        <w:rPr>
          <w:b/>
        </w:rPr>
        <w:t>diamuthique</w:t>
      </w:r>
      <w:proofErr w:type="spellEnd"/>
      <w:r>
        <w:t xml:space="preserve">, en faisant dialoguer </w:t>
      </w:r>
      <w:r w:rsidR="00863B37">
        <w:t xml:space="preserve">en particulier </w:t>
      </w:r>
      <w:r>
        <w:t xml:space="preserve">les visions du monde. On s’arrêtera  ici sur la dimension dialogique et </w:t>
      </w:r>
      <w:proofErr w:type="spellStart"/>
      <w:r>
        <w:t>dialogale</w:t>
      </w:r>
      <w:proofErr w:type="spellEnd"/>
      <w:r>
        <w:t>.</w:t>
      </w:r>
    </w:p>
    <w:p w:rsidR="00014C82" w:rsidRPr="00454E1C" w:rsidRDefault="00130831" w:rsidP="00AA244B">
      <w:pPr>
        <w:jc w:val="both"/>
        <w:rPr>
          <w:i/>
        </w:rPr>
      </w:pPr>
      <w:r w:rsidRPr="00454E1C">
        <w:rPr>
          <w:i/>
        </w:rPr>
        <w:t xml:space="preserve">Le dialogisme et les </w:t>
      </w:r>
      <w:proofErr w:type="spellStart"/>
      <w:r w:rsidRPr="00454E1C">
        <w:rPr>
          <w:i/>
        </w:rPr>
        <w:t>multisensus</w:t>
      </w:r>
      <w:proofErr w:type="spellEnd"/>
    </w:p>
    <w:p w:rsidR="00454E1C" w:rsidRDefault="00454E1C" w:rsidP="00AA244B">
      <w:pPr>
        <w:jc w:val="both"/>
      </w:pPr>
      <w:r>
        <w:t xml:space="preserve">De même que le pluralisme normatif conduit au </w:t>
      </w:r>
      <w:proofErr w:type="spellStart"/>
      <w:r>
        <w:t>multijuridisme</w:t>
      </w:r>
      <w:proofErr w:type="spellEnd"/>
      <w:r>
        <w:t xml:space="preserve"> donc affirme que chaque groupe  fait, dans le langage usuel, « son droit » sous le nom d’habitudes, usages, coutumes, rituels, etc.,  de même la faculté de comprendre (</w:t>
      </w:r>
      <w:proofErr w:type="spellStart"/>
      <w:r>
        <w:t>sensus</w:t>
      </w:r>
      <w:proofErr w:type="spellEnd"/>
      <w:r>
        <w:t>) comment faire société (agôn) doit se décliner de manière plurielle si, effectivement</w:t>
      </w:r>
      <w:r w:rsidR="008E01BE">
        <w:t>,</w:t>
      </w:r>
      <w:r>
        <w:t xml:space="preserve"> la complexité de nos formations sociales exige  ce recentrement. </w:t>
      </w:r>
    </w:p>
    <w:p w:rsidR="008E01BE" w:rsidRDefault="00454E1C" w:rsidP="00AA244B">
      <w:pPr>
        <w:jc w:val="both"/>
      </w:pPr>
      <w:r>
        <w:t xml:space="preserve">Abordé comme un élément tiers entre consensus et </w:t>
      </w:r>
      <w:proofErr w:type="spellStart"/>
      <w:r>
        <w:t>di</w:t>
      </w:r>
      <w:r w:rsidR="008E01BE">
        <w:t>s</w:t>
      </w:r>
      <w:r>
        <w:t>sensus</w:t>
      </w:r>
      <w:proofErr w:type="spellEnd"/>
      <w:r>
        <w:t xml:space="preserve">, </w:t>
      </w:r>
      <w:r w:rsidR="008E01BE">
        <w:t xml:space="preserve">l’hypothèse du </w:t>
      </w:r>
      <w:proofErr w:type="spellStart"/>
      <w:r w:rsidR="008E01BE">
        <w:t>multisensus</w:t>
      </w:r>
      <w:proofErr w:type="spellEnd"/>
      <w:r w:rsidR="008E01BE">
        <w:t xml:space="preserve"> doit elle-même être déclinée au pluriel car la somme des ajustements relationnels a pour caractéristique, dans un système complexe, son incertitude, donc la variabilité des montages de solutions, seules certaines, permanentes, pouvant s’inscrire dans l’espace de l’institution en relevant du droit stricte ou positif (Le Roy, 2009</w:t>
      </w:r>
      <w:r w:rsidR="0084143F">
        <w:t>b</w:t>
      </w:r>
      <w:r w:rsidR="008E01BE">
        <w:t xml:space="preserve">). </w:t>
      </w:r>
    </w:p>
    <w:p w:rsidR="004B4331" w:rsidRDefault="008E01BE" w:rsidP="00AA244B">
      <w:pPr>
        <w:jc w:val="both"/>
      </w:pPr>
      <w:r>
        <w:t xml:space="preserve">Cette labilité est au mieux décourageante pour un juriste dogmatique pour lequel seule la permanence des solutions institutionnelles peut faire société. Elle n’en devient pas moins une clé de compréhension  des systèmes ouverts d’échanges et d’informations </w:t>
      </w:r>
      <w:r w:rsidR="004B4331">
        <w:t xml:space="preserve">(internet et autres) </w:t>
      </w:r>
      <w:r>
        <w:t>qui se construisent devant nous car, selon notre cinquième postulat «  tout change et la seul chose qui ne change pas c’est que tout change ».</w:t>
      </w:r>
    </w:p>
    <w:p w:rsidR="00863B37" w:rsidRPr="00863B37" w:rsidRDefault="00863B37" w:rsidP="00AA244B">
      <w:pPr>
        <w:jc w:val="both"/>
        <w:rPr>
          <w:b/>
        </w:rPr>
      </w:pPr>
      <w:r w:rsidRPr="00863B37">
        <w:rPr>
          <w:b/>
        </w:rPr>
        <w:t>Conclusion</w:t>
      </w:r>
    </w:p>
    <w:p w:rsidR="00014C82" w:rsidRDefault="004B4331" w:rsidP="00AA244B">
      <w:pPr>
        <w:jc w:val="both"/>
      </w:pPr>
      <w:r>
        <w:t>Dans le contexte du présent workshop et en retournant final</w:t>
      </w:r>
      <w:r w:rsidR="00A71521">
        <w:t>e</w:t>
      </w:r>
      <w:r>
        <w:t xml:space="preserve">ment à la question de la démocratie, la voie du </w:t>
      </w:r>
      <w:proofErr w:type="spellStart"/>
      <w:r>
        <w:t>multisensus</w:t>
      </w:r>
      <w:proofErr w:type="spellEnd"/>
      <w:r>
        <w:t xml:space="preserve"> suggère de donner à sa forme participative toute sa place pour remédier à l’érosion de la démocratie représentative victime  d’une apparence d’égalitarisme au nom du principe du contraire mais qui ne saurait cacher   que cette fiction a cessé d’être partagée et qu’il n’y a un avenir à la démocratie qu’en étant profondément refondée sur des bases plus saines</w:t>
      </w:r>
      <w:r w:rsidR="00950B85">
        <w:t>, multiples et plurielles</w:t>
      </w:r>
      <w:r>
        <w:t>.</w:t>
      </w:r>
    </w:p>
    <w:p w:rsidR="00014C82" w:rsidRDefault="00014C82" w:rsidP="00AA244B">
      <w:pPr>
        <w:jc w:val="both"/>
      </w:pPr>
    </w:p>
    <w:p w:rsidR="00014C82" w:rsidRDefault="00014C82" w:rsidP="00AA244B">
      <w:pPr>
        <w:jc w:val="both"/>
      </w:pPr>
    </w:p>
    <w:p w:rsidR="00014C82" w:rsidRPr="00143C18" w:rsidRDefault="00143C18" w:rsidP="00AA244B">
      <w:pPr>
        <w:jc w:val="both"/>
        <w:rPr>
          <w:b/>
        </w:rPr>
      </w:pPr>
      <w:r w:rsidRPr="00143C18">
        <w:rPr>
          <w:b/>
        </w:rPr>
        <w:t>Biblio</w:t>
      </w:r>
      <w:r w:rsidR="00863B37" w:rsidRPr="00143C18">
        <w:rPr>
          <w:b/>
        </w:rPr>
        <w:t>graphie</w:t>
      </w:r>
    </w:p>
    <w:p w:rsidR="00E0663B" w:rsidRDefault="00484A01" w:rsidP="00E0663B">
      <w:pPr>
        <w:spacing w:after="0"/>
        <w:jc w:val="both"/>
      </w:pPr>
      <w:proofErr w:type="spellStart"/>
      <w:r>
        <w:t>Alliot</w:t>
      </w:r>
      <w:proofErr w:type="spellEnd"/>
      <w:r>
        <w:t xml:space="preserve"> Michel 2003, </w:t>
      </w:r>
      <w:r>
        <w:rPr>
          <w:i/>
        </w:rPr>
        <w:t xml:space="preserve">Le droit et le service public au miroir de l’anthropologie, </w:t>
      </w:r>
      <w:r>
        <w:t>Paris, Karthala</w:t>
      </w:r>
      <w:r w:rsidR="00E0663B">
        <w:t>.</w:t>
      </w:r>
    </w:p>
    <w:p w:rsidR="00B30E1A" w:rsidRDefault="001B1C6C" w:rsidP="00E0663B">
      <w:pPr>
        <w:spacing w:after="0"/>
        <w:jc w:val="both"/>
      </w:pPr>
      <w:r>
        <w:rPr>
          <w:rFonts w:ascii="Times New Roman" w:hAnsi="Times New Roman" w:cs="Times New Roman"/>
        </w:rPr>
        <w:t xml:space="preserve">Anderson Benedict., 1996, </w:t>
      </w:r>
      <w:r>
        <w:rPr>
          <w:rFonts w:ascii="Times New Roman" w:hAnsi="Times New Roman" w:cs="Times New Roman"/>
          <w:i/>
          <w:iCs/>
        </w:rPr>
        <w:t>L’imaginaire national. Essai sur l’origine et l’essor du</w:t>
      </w:r>
      <w:r w:rsidR="00E0663B">
        <w:rPr>
          <w:rFonts w:ascii="Times New Roman" w:hAnsi="Times New Roman" w:cs="Times New Roman"/>
          <w:i/>
          <w:iCs/>
        </w:rPr>
        <w:t xml:space="preserve"> </w:t>
      </w:r>
      <w:r>
        <w:rPr>
          <w:rFonts w:ascii="Times New Roman" w:hAnsi="Times New Roman" w:cs="Times New Roman"/>
          <w:i/>
          <w:iCs/>
        </w:rPr>
        <w:t xml:space="preserve">nationalisme, </w:t>
      </w:r>
      <w:r>
        <w:rPr>
          <w:rFonts w:ascii="Times New Roman" w:hAnsi="Times New Roman" w:cs="Times New Roman"/>
        </w:rPr>
        <w:t>Paris, La Découverte</w:t>
      </w:r>
      <w:r>
        <w:rPr>
          <w:rFonts w:ascii="Times New Roman" w:hAnsi="Times New Roman" w:cs="Times New Roman"/>
          <w:i/>
          <w:iCs/>
        </w:rPr>
        <w:t xml:space="preserve">. </w:t>
      </w:r>
    </w:p>
    <w:p w:rsidR="00B30E1A" w:rsidRDefault="00B30E1A" w:rsidP="00B30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roofErr w:type="spellStart"/>
      <w:r>
        <w:rPr>
          <w:rFonts w:ascii="Times New Roman" w:hAnsi="Times New Roman" w:cs="Times New Roman"/>
        </w:rPr>
        <w:t>Appadurai</w:t>
      </w:r>
      <w:proofErr w:type="spellEnd"/>
      <w:r>
        <w:rPr>
          <w:rFonts w:ascii="Times New Roman" w:hAnsi="Times New Roman" w:cs="Times New Roman"/>
        </w:rPr>
        <w:t xml:space="preserve"> </w:t>
      </w:r>
      <w:proofErr w:type="spellStart"/>
      <w:r>
        <w:rPr>
          <w:rFonts w:ascii="Times New Roman" w:hAnsi="Times New Roman" w:cs="Times New Roman"/>
        </w:rPr>
        <w:t>Arjun</w:t>
      </w:r>
      <w:proofErr w:type="spellEnd"/>
      <w:r>
        <w:rPr>
          <w:rFonts w:ascii="Times New Roman" w:hAnsi="Times New Roman" w:cs="Times New Roman"/>
        </w:rPr>
        <w:t xml:space="preserve">. 2005(1996), </w:t>
      </w:r>
      <w:r>
        <w:rPr>
          <w:rFonts w:ascii="Times New Roman" w:hAnsi="Times New Roman" w:cs="Times New Roman"/>
          <w:i/>
          <w:iCs/>
        </w:rPr>
        <w:t xml:space="preserve">Après le colonialisme, les conséquences culturelles de la </w:t>
      </w:r>
    </w:p>
    <w:p w:rsidR="00B30E1A" w:rsidRDefault="00B30E1A" w:rsidP="00B30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Times New Roman" w:hAnsi="Times New Roman" w:cs="Times New Roman"/>
          <w:i/>
          <w:iCs/>
        </w:rPr>
        <w:t xml:space="preserve">globalisation </w:t>
      </w:r>
      <w:r>
        <w:rPr>
          <w:rFonts w:ascii="Times New Roman" w:hAnsi="Times New Roman" w:cs="Times New Roman"/>
        </w:rPr>
        <w:t xml:space="preserve">trad. française de </w:t>
      </w:r>
      <w:proofErr w:type="spellStart"/>
      <w:r>
        <w:rPr>
          <w:rFonts w:ascii="Times New Roman" w:hAnsi="Times New Roman" w:cs="Times New Roman"/>
          <w:i/>
          <w:iCs/>
        </w:rPr>
        <w:t>Modernity</w:t>
      </w:r>
      <w:proofErr w:type="spellEnd"/>
      <w:r>
        <w:rPr>
          <w:rFonts w:ascii="Times New Roman" w:hAnsi="Times New Roman" w:cs="Times New Roman"/>
          <w:i/>
          <w:iCs/>
        </w:rPr>
        <w:t xml:space="preserve"> </w:t>
      </w:r>
      <w:proofErr w:type="spellStart"/>
      <w:r>
        <w:rPr>
          <w:rFonts w:ascii="Times New Roman" w:hAnsi="Times New Roman" w:cs="Times New Roman"/>
          <w:i/>
          <w:iCs/>
        </w:rPr>
        <w:t>at</w:t>
      </w:r>
      <w:proofErr w:type="spellEnd"/>
      <w:r>
        <w:rPr>
          <w:rFonts w:ascii="Times New Roman" w:hAnsi="Times New Roman" w:cs="Times New Roman"/>
          <w:i/>
          <w:iCs/>
        </w:rPr>
        <w:t xml:space="preserve"> large, Cultural Dimensions of </w:t>
      </w:r>
      <w:proofErr w:type="spellStart"/>
      <w:r>
        <w:rPr>
          <w:rFonts w:ascii="Times New Roman" w:hAnsi="Times New Roman" w:cs="Times New Roman"/>
          <w:i/>
          <w:iCs/>
        </w:rPr>
        <w:t>Globalization</w:t>
      </w:r>
      <w:proofErr w:type="spellEnd"/>
      <w:r>
        <w:rPr>
          <w:rFonts w:ascii="Times New Roman" w:hAnsi="Times New Roman" w:cs="Times New Roman"/>
        </w:rPr>
        <w:t xml:space="preserve">. </w:t>
      </w:r>
    </w:p>
    <w:p w:rsidR="00B30E1A" w:rsidRDefault="00B30E1A" w:rsidP="00B30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Times New Roman" w:hAnsi="Times New Roman" w:cs="Times New Roman"/>
        </w:rPr>
        <w:t xml:space="preserve">Paris, Payot, petite bibliothèque. </w:t>
      </w:r>
    </w:p>
    <w:p w:rsidR="00E0663B" w:rsidRDefault="00484A01" w:rsidP="00255FF1">
      <w:pPr>
        <w:spacing w:after="0"/>
        <w:jc w:val="both"/>
      </w:pPr>
      <w:r>
        <w:t xml:space="preserve">Bailly Anatole, 1950, </w:t>
      </w:r>
      <w:r w:rsidRPr="00484A01">
        <w:rPr>
          <w:i/>
        </w:rPr>
        <w:t xml:space="preserve">Dictionnaire </w:t>
      </w:r>
      <w:proofErr w:type="spellStart"/>
      <w:r w:rsidRPr="00484A01">
        <w:rPr>
          <w:i/>
        </w:rPr>
        <w:t>grec-français</w:t>
      </w:r>
      <w:proofErr w:type="spellEnd"/>
      <w:r>
        <w:t>, Paris, Hachette</w:t>
      </w:r>
    </w:p>
    <w:p w:rsidR="00B30E1A" w:rsidRPr="00E0663B" w:rsidRDefault="00B30E1A" w:rsidP="00E0663B">
      <w:pPr>
        <w:spacing w:after="0"/>
      </w:pPr>
      <w:r>
        <w:rPr>
          <w:rFonts w:ascii="Times New Roman" w:hAnsi="Times New Roman" w:cs="Times New Roman"/>
        </w:rPr>
        <w:t xml:space="preserve">Bernoux Philippe, 1996, « Sociologie des organisations, nouvelles approches », </w:t>
      </w:r>
      <w:r>
        <w:rPr>
          <w:rFonts w:ascii="Times New Roman" w:hAnsi="Times New Roman" w:cs="Times New Roman"/>
          <w:i/>
          <w:iCs/>
        </w:rPr>
        <w:t xml:space="preserve">Sciences </w:t>
      </w:r>
    </w:p>
    <w:p w:rsidR="00B30E1A" w:rsidRDefault="00B30E1A" w:rsidP="00E0663B">
      <w:pPr>
        <w:spacing w:after="0"/>
      </w:pPr>
      <w:r>
        <w:rPr>
          <w:rFonts w:ascii="Times New Roman" w:hAnsi="Times New Roman" w:cs="Times New Roman"/>
          <w:i/>
          <w:iCs/>
        </w:rPr>
        <w:t>humaines</w:t>
      </w:r>
      <w:r>
        <w:rPr>
          <w:rFonts w:ascii="Times New Roman" w:hAnsi="Times New Roman" w:cs="Times New Roman"/>
        </w:rPr>
        <w:t>, 64.</w:t>
      </w:r>
    </w:p>
    <w:p w:rsidR="00B30E1A" w:rsidRDefault="00B30E1A" w:rsidP="00B30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Times New Roman" w:hAnsi="Times New Roman" w:cs="Times New Roman"/>
        </w:rPr>
        <w:t xml:space="preserve">Boltanski Luc et Thevenot Laurent 1991, </w:t>
      </w:r>
      <w:r>
        <w:rPr>
          <w:rFonts w:ascii="Times New Roman" w:hAnsi="Times New Roman" w:cs="Times New Roman"/>
          <w:i/>
          <w:iCs/>
        </w:rPr>
        <w:t>De la justification, les économies de la grandeu</w:t>
      </w:r>
      <w:r>
        <w:rPr>
          <w:rFonts w:ascii="Times New Roman" w:hAnsi="Times New Roman" w:cs="Times New Roman"/>
        </w:rPr>
        <w:t xml:space="preserve">r, </w:t>
      </w:r>
    </w:p>
    <w:p w:rsidR="00B30E1A" w:rsidRDefault="00B30E1A" w:rsidP="00B30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Times New Roman" w:hAnsi="Times New Roman" w:cs="Times New Roman"/>
        </w:rPr>
        <w:t xml:space="preserve">Paris, Gallimard, </w:t>
      </w:r>
      <w:proofErr w:type="spellStart"/>
      <w:r>
        <w:rPr>
          <w:rFonts w:ascii="Times New Roman" w:hAnsi="Times New Roman" w:cs="Times New Roman"/>
        </w:rPr>
        <w:t>NRF-essais</w:t>
      </w:r>
      <w:proofErr w:type="spellEnd"/>
      <w:r>
        <w:rPr>
          <w:rFonts w:ascii="Times New Roman" w:hAnsi="Times New Roman" w:cs="Times New Roman"/>
        </w:rPr>
        <w:t xml:space="preserve">. </w:t>
      </w:r>
    </w:p>
    <w:p w:rsidR="001B1C6C" w:rsidRDefault="001B1C6C" w:rsidP="001B1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roofErr w:type="spellStart"/>
      <w:r>
        <w:rPr>
          <w:rFonts w:ascii="Times New Roman" w:hAnsi="Times New Roman" w:cs="Times New Roman"/>
        </w:rPr>
        <w:t>Crousse</w:t>
      </w:r>
      <w:proofErr w:type="spellEnd"/>
      <w:r>
        <w:rPr>
          <w:rFonts w:ascii="Times New Roman" w:hAnsi="Times New Roman" w:cs="Times New Roman"/>
        </w:rPr>
        <w:t xml:space="preserve"> Bernard, Le Bris Émile, Le Roy Étienne (</w:t>
      </w:r>
      <w:proofErr w:type="spellStart"/>
      <w:r>
        <w:rPr>
          <w:rFonts w:ascii="Times New Roman" w:hAnsi="Times New Roman" w:cs="Times New Roman"/>
        </w:rPr>
        <w:t>eds</w:t>
      </w:r>
      <w:proofErr w:type="spellEnd"/>
      <w:r>
        <w:rPr>
          <w:rFonts w:ascii="Times New Roman" w:hAnsi="Times New Roman" w:cs="Times New Roman"/>
        </w:rPr>
        <w:t xml:space="preserve">.), 1986, </w:t>
      </w:r>
      <w:r>
        <w:rPr>
          <w:rFonts w:ascii="Times New Roman" w:hAnsi="Times New Roman" w:cs="Times New Roman"/>
          <w:i/>
          <w:iCs/>
        </w:rPr>
        <w:t xml:space="preserve">Espaces disputés en Afrique </w:t>
      </w:r>
    </w:p>
    <w:p w:rsidR="001B1C6C" w:rsidRDefault="001B1C6C" w:rsidP="001B1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r>
        <w:rPr>
          <w:rFonts w:ascii="Times New Roman" w:hAnsi="Times New Roman" w:cs="Times New Roman"/>
          <w:i/>
          <w:iCs/>
        </w:rPr>
        <w:t>noire, pratiques foncières locales,</w:t>
      </w:r>
      <w:r>
        <w:rPr>
          <w:rFonts w:ascii="Times New Roman" w:hAnsi="Times New Roman" w:cs="Times New Roman"/>
        </w:rPr>
        <w:t xml:space="preserve"> Paris, Karthala. </w:t>
      </w:r>
    </w:p>
    <w:p w:rsidR="001B1C6C" w:rsidRPr="001B1C6C" w:rsidRDefault="001B1C6C" w:rsidP="001B1C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 xml:space="preserve">Dumont Louis, 1984, </w:t>
      </w:r>
      <w:r>
        <w:rPr>
          <w:rFonts w:ascii="Times New Roman" w:hAnsi="Times New Roman" w:cs="Times New Roman"/>
          <w:i/>
        </w:rPr>
        <w:t xml:space="preserve">Essais sur l’individualisme, une perspective anthropologique sur l’idéologie moderne, </w:t>
      </w:r>
      <w:r>
        <w:rPr>
          <w:rFonts w:ascii="Times New Roman" w:hAnsi="Times New Roman" w:cs="Times New Roman"/>
        </w:rPr>
        <w:t xml:space="preserve">Paris, Seuil. </w:t>
      </w:r>
    </w:p>
    <w:p w:rsidR="00255FF1" w:rsidRDefault="00780EA5" w:rsidP="00255FF1">
      <w:pPr>
        <w:spacing w:after="0"/>
        <w:jc w:val="both"/>
      </w:pPr>
      <w:r>
        <w:t xml:space="preserve">Eberhard Christoph et Le Roy Etienne, 2009, « Visions du monde, théories des pouvoirs et représentations du droit », AFAD, </w:t>
      </w:r>
      <w:r>
        <w:rPr>
          <w:i/>
        </w:rPr>
        <w:t xml:space="preserve">Anthropologies et droits, état des savoirs et orientations contemporaines, </w:t>
      </w:r>
      <w:r>
        <w:t xml:space="preserve"> sous la coordination de Edwige </w:t>
      </w:r>
      <w:proofErr w:type="spellStart"/>
      <w:r>
        <w:t>Rude-Antoine</w:t>
      </w:r>
      <w:proofErr w:type="spellEnd"/>
      <w:r>
        <w:t xml:space="preserve"> et Geneviève </w:t>
      </w:r>
      <w:proofErr w:type="spellStart"/>
      <w:r>
        <w:t>Chrétien-Vernicos</w:t>
      </w:r>
      <w:proofErr w:type="spellEnd"/>
      <w:r>
        <w:t>, Paris, Dalloz,  col. L’esprit du droit, p. 107-150.</w:t>
      </w:r>
    </w:p>
    <w:p w:rsidR="00484A01" w:rsidRPr="00255972" w:rsidRDefault="00255972" w:rsidP="00255FF1">
      <w:pPr>
        <w:spacing w:after="0"/>
        <w:jc w:val="both"/>
      </w:pPr>
      <w:proofErr w:type="spellStart"/>
      <w:r>
        <w:t>Gaffiot</w:t>
      </w:r>
      <w:proofErr w:type="spellEnd"/>
      <w:r>
        <w:t xml:space="preserve"> Félix, 1934, </w:t>
      </w:r>
      <w:r>
        <w:rPr>
          <w:i/>
        </w:rPr>
        <w:t xml:space="preserve">Dictionnaire illustré </w:t>
      </w:r>
      <w:proofErr w:type="spellStart"/>
      <w:r>
        <w:rPr>
          <w:i/>
        </w:rPr>
        <w:t>latin-français</w:t>
      </w:r>
      <w:proofErr w:type="spellEnd"/>
      <w:r>
        <w:rPr>
          <w:i/>
        </w:rPr>
        <w:t xml:space="preserve">. </w:t>
      </w:r>
      <w:r>
        <w:t>Paris, Hachette.</w:t>
      </w:r>
    </w:p>
    <w:p w:rsidR="00255FF1" w:rsidRDefault="0079552C" w:rsidP="00255FF1">
      <w:pPr>
        <w:spacing w:after="0"/>
        <w:jc w:val="both"/>
        <w:rPr>
          <w:i/>
        </w:rPr>
      </w:pPr>
      <w:r>
        <w:t>Ha</w:t>
      </w:r>
      <w:r w:rsidR="005C4A69">
        <w:t>tzfeld Marc</w:t>
      </w:r>
      <w:r>
        <w:t>, à paraître,</w:t>
      </w:r>
      <w:r w:rsidR="005C4A69">
        <w:t xml:space="preserve"> </w:t>
      </w:r>
      <w:r>
        <w:t xml:space="preserve">« Point de vue », Hatzfeld Marc, </w:t>
      </w:r>
      <w:proofErr w:type="spellStart"/>
      <w:r>
        <w:t>Landrieu</w:t>
      </w:r>
      <w:proofErr w:type="spellEnd"/>
      <w:r>
        <w:t xml:space="preserve"> Josée, Le Roy Etienne, </w:t>
      </w:r>
      <w:r>
        <w:rPr>
          <w:i/>
        </w:rPr>
        <w:t>Traversiers.</w:t>
      </w:r>
    </w:p>
    <w:p w:rsidR="00376CEB" w:rsidRPr="00255FF1" w:rsidRDefault="00376CEB" w:rsidP="00255FF1">
      <w:pPr>
        <w:spacing w:after="0"/>
        <w:jc w:val="both"/>
        <w:rPr>
          <w:i/>
        </w:rPr>
      </w:pPr>
      <w:r w:rsidRPr="007E15CB">
        <w:t xml:space="preserve">Le Roy </w:t>
      </w:r>
      <w:r w:rsidRPr="007E15CB">
        <w:rPr>
          <w:rFonts w:ascii="Cambria" w:hAnsi="Cambria"/>
        </w:rPr>
        <w:t>É</w:t>
      </w:r>
      <w:r w:rsidRPr="007E15CB">
        <w:t>tienne</w:t>
      </w:r>
      <w:r>
        <w:t xml:space="preserve">, 1998, « L'hypothèse de </w:t>
      </w:r>
      <w:proofErr w:type="spellStart"/>
      <w:r>
        <w:t>multijuridisme</w:t>
      </w:r>
      <w:proofErr w:type="spellEnd"/>
      <w:r>
        <w:t xml:space="preserve"> dans un contexte de sortie de modernité », Lajoie Andrée et </w:t>
      </w:r>
      <w:proofErr w:type="spellStart"/>
      <w:r>
        <w:t>alii</w:t>
      </w:r>
      <w:proofErr w:type="spellEnd"/>
      <w:r>
        <w:t xml:space="preserve">,  </w:t>
      </w:r>
      <w:r w:rsidRPr="00E777D8">
        <w:rPr>
          <w:i/>
        </w:rPr>
        <w:t>Théories et émergence du Droit, Pluralisme, surdétermination et effectivité,</w:t>
      </w:r>
      <w:r>
        <w:t xml:space="preserve">  Montréal, Thémis, Bruxelles </w:t>
      </w:r>
      <w:proofErr w:type="spellStart"/>
      <w:r>
        <w:t>Bruylant</w:t>
      </w:r>
      <w:proofErr w:type="spellEnd"/>
      <w:r>
        <w:t xml:space="preserve">, p.  29/43. </w:t>
      </w:r>
    </w:p>
    <w:p w:rsidR="00014C82" w:rsidRDefault="00376CEB" w:rsidP="00255FF1">
      <w:pPr>
        <w:spacing w:after="0"/>
        <w:jc w:val="both"/>
      </w:pPr>
      <w:r w:rsidRPr="007E15CB">
        <w:t xml:space="preserve">Le Roy </w:t>
      </w:r>
      <w:r w:rsidRPr="007E15CB">
        <w:rPr>
          <w:rFonts w:ascii="Cambria" w:hAnsi="Cambria"/>
        </w:rPr>
        <w:t>É</w:t>
      </w:r>
      <w:r w:rsidRPr="007E15CB">
        <w:t>tienne</w:t>
      </w:r>
      <w:r>
        <w:t xml:space="preserve">, 1999, </w:t>
      </w:r>
      <w:r>
        <w:rPr>
          <w:i/>
        </w:rPr>
        <w:t xml:space="preserve">Le jeu des lois, une anthropologie ‘dynamique ‘ du droit, </w:t>
      </w:r>
      <w:r>
        <w:t xml:space="preserve"> Paris, LGDJ, col. Droit et société, 415 p.</w:t>
      </w:r>
    </w:p>
    <w:p w:rsidR="00235972" w:rsidRDefault="00376CEB" w:rsidP="00255FF1">
      <w:pPr>
        <w:spacing w:after="0"/>
        <w:jc w:val="both"/>
      </w:pPr>
      <w:r w:rsidRPr="007E15CB">
        <w:t xml:space="preserve">Le Roy </w:t>
      </w:r>
      <w:r w:rsidRPr="007E15CB">
        <w:rPr>
          <w:rFonts w:ascii="Cambria" w:hAnsi="Cambria"/>
        </w:rPr>
        <w:t>É</w:t>
      </w:r>
      <w:r w:rsidRPr="007E15CB">
        <w:t>tienne</w:t>
      </w:r>
      <w:r>
        <w:t xml:space="preserve">, </w:t>
      </w:r>
      <w:r w:rsidR="00B86EDF">
        <w:t>2004</w:t>
      </w:r>
      <w:r w:rsidR="00FE3AB8">
        <w:t>,</w:t>
      </w:r>
      <w:r w:rsidR="00B86EDF">
        <w:t xml:space="preserve"> «  Anthropolo</w:t>
      </w:r>
      <w:r w:rsidR="00235972">
        <w:t xml:space="preserve">gie de le justice », </w:t>
      </w:r>
      <w:proofErr w:type="spellStart"/>
      <w:r w:rsidR="00235972">
        <w:t>Cadiet</w:t>
      </w:r>
      <w:proofErr w:type="spellEnd"/>
      <w:r w:rsidR="00235972">
        <w:t xml:space="preserve"> Loïc</w:t>
      </w:r>
      <w:r w:rsidR="00B86EDF">
        <w:t xml:space="preserve">, (ed.), </w:t>
      </w:r>
      <w:r w:rsidR="00B86EDF">
        <w:rPr>
          <w:i/>
        </w:rPr>
        <w:t xml:space="preserve">Dictionnaire de la justice, </w:t>
      </w:r>
      <w:r>
        <w:t>Paris, PUF</w:t>
      </w:r>
      <w:r w:rsidR="00B86EDF">
        <w:t>, p. 43-47.</w:t>
      </w:r>
    </w:p>
    <w:p w:rsidR="00235972" w:rsidRDefault="00235972" w:rsidP="00235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r>
        <w:rPr>
          <w:rFonts w:ascii="Times New Roman" w:hAnsi="Times New Roman" w:cs="Times New Roman"/>
        </w:rPr>
        <w:t xml:space="preserve">Le Roy Étienne, 2009, « Autonomie du droit, hétéronomie de la juridicité »,  </w:t>
      </w:r>
      <w:proofErr w:type="spellStart"/>
      <w:r>
        <w:rPr>
          <w:rFonts w:ascii="Times New Roman" w:hAnsi="Times New Roman" w:cs="Times New Roman"/>
        </w:rPr>
        <w:t>Sacco</w:t>
      </w:r>
      <w:proofErr w:type="spellEnd"/>
      <w:r>
        <w:rPr>
          <w:rFonts w:ascii="Times New Roman" w:hAnsi="Times New Roman" w:cs="Times New Roman"/>
        </w:rPr>
        <w:t xml:space="preserve"> Rodolfo (ed.), “ </w:t>
      </w:r>
      <w:r>
        <w:rPr>
          <w:rFonts w:ascii="Times New Roman" w:hAnsi="Times New Roman" w:cs="Times New Roman"/>
          <w:i/>
          <w:iCs/>
        </w:rPr>
        <w:t xml:space="preserve">Le </w:t>
      </w:r>
      <w:proofErr w:type="spellStart"/>
      <w:r>
        <w:rPr>
          <w:rFonts w:ascii="Times New Roman" w:hAnsi="Times New Roman" w:cs="Times New Roman"/>
          <w:i/>
          <w:iCs/>
        </w:rPr>
        <w:t>nuove</w:t>
      </w:r>
      <w:proofErr w:type="spellEnd"/>
      <w:r>
        <w:rPr>
          <w:rFonts w:ascii="Times New Roman" w:hAnsi="Times New Roman" w:cs="Times New Roman"/>
          <w:i/>
          <w:iCs/>
        </w:rPr>
        <w:t xml:space="preserve"> </w:t>
      </w:r>
      <w:proofErr w:type="spellStart"/>
      <w:r>
        <w:rPr>
          <w:rFonts w:ascii="Times New Roman" w:hAnsi="Times New Roman" w:cs="Times New Roman"/>
          <w:i/>
          <w:iCs/>
        </w:rPr>
        <w:t>ambizioni</w:t>
      </w:r>
      <w:proofErr w:type="spellEnd"/>
      <w:r>
        <w:rPr>
          <w:rFonts w:ascii="Times New Roman" w:hAnsi="Times New Roman" w:cs="Times New Roman"/>
          <w:i/>
          <w:iCs/>
        </w:rPr>
        <w:t xml:space="preserve"> </w:t>
      </w:r>
      <w:proofErr w:type="spellStart"/>
      <w:r>
        <w:rPr>
          <w:rFonts w:ascii="Times New Roman" w:hAnsi="Times New Roman" w:cs="Times New Roman"/>
          <w:i/>
          <w:iCs/>
        </w:rPr>
        <w:t>del</w:t>
      </w:r>
      <w:proofErr w:type="spellEnd"/>
      <w:r>
        <w:rPr>
          <w:rFonts w:ascii="Times New Roman" w:hAnsi="Times New Roman" w:cs="Times New Roman"/>
          <w:i/>
          <w:iCs/>
        </w:rPr>
        <w:t xml:space="preserve"> </w:t>
      </w:r>
      <w:proofErr w:type="spellStart"/>
      <w:r>
        <w:rPr>
          <w:rFonts w:ascii="Times New Roman" w:hAnsi="Times New Roman" w:cs="Times New Roman"/>
          <w:i/>
          <w:iCs/>
        </w:rPr>
        <w:t>sapere</w:t>
      </w:r>
      <w:proofErr w:type="spellEnd"/>
      <w:r>
        <w:rPr>
          <w:rFonts w:ascii="Times New Roman" w:hAnsi="Times New Roman" w:cs="Times New Roman"/>
          <w:i/>
          <w:iCs/>
        </w:rPr>
        <w:t xml:space="preserve"> </w:t>
      </w:r>
      <w:proofErr w:type="spellStart"/>
      <w:r>
        <w:rPr>
          <w:rFonts w:ascii="Times New Roman" w:hAnsi="Times New Roman" w:cs="Times New Roman"/>
          <w:i/>
          <w:iCs/>
        </w:rPr>
        <w:t>del</w:t>
      </w:r>
      <w:proofErr w:type="spellEnd"/>
      <w:r>
        <w:rPr>
          <w:rFonts w:ascii="Times New Roman" w:hAnsi="Times New Roman" w:cs="Times New Roman"/>
          <w:i/>
          <w:iCs/>
        </w:rPr>
        <w:t xml:space="preserve"> </w:t>
      </w:r>
      <w:proofErr w:type="spellStart"/>
      <w:r>
        <w:rPr>
          <w:rFonts w:ascii="Times New Roman" w:hAnsi="Times New Roman" w:cs="Times New Roman"/>
          <w:i/>
          <w:iCs/>
        </w:rPr>
        <w:t>giurista</w:t>
      </w:r>
      <w:proofErr w:type="spellEnd"/>
      <w:r>
        <w:rPr>
          <w:rFonts w:ascii="Times New Roman" w:hAnsi="Times New Roman" w:cs="Times New Roman"/>
          <w:i/>
          <w:iCs/>
        </w:rPr>
        <w:t xml:space="preserve"> : </w:t>
      </w:r>
      <w:proofErr w:type="spellStart"/>
      <w:r>
        <w:rPr>
          <w:rFonts w:ascii="Times New Roman" w:hAnsi="Times New Roman" w:cs="Times New Roman"/>
          <w:i/>
          <w:iCs/>
        </w:rPr>
        <w:t>anthropologica</w:t>
      </w:r>
      <w:proofErr w:type="spellEnd"/>
      <w:r>
        <w:rPr>
          <w:rFonts w:ascii="Times New Roman" w:hAnsi="Times New Roman" w:cs="Times New Roman"/>
          <w:i/>
          <w:iCs/>
        </w:rPr>
        <w:t xml:space="preserve"> </w:t>
      </w:r>
      <w:proofErr w:type="spellStart"/>
      <w:r>
        <w:rPr>
          <w:rFonts w:ascii="Times New Roman" w:hAnsi="Times New Roman" w:cs="Times New Roman"/>
          <w:i/>
          <w:iCs/>
        </w:rPr>
        <w:t>giuridica</w:t>
      </w:r>
      <w:proofErr w:type="spellEnd"/>
      <w:r>
        <w:rPr>
          <w:rFonts w:ascii="Times New Roman" w:hAnsi="Times New Roman" w:cs="Times New Roman"/>
          <w:i/>
          <w:iCs/>
        </w:rPr>
        <w:t xml:space="preserve"> e </w:t>
      </w:r>
      <w:proofErr w:type="spellStart"/>
      <w:r>
        <w:rPr>
          <w:rFonts w:ascii="Times New Roman" w:hAnsi="Times New Roman" w:cs="Times New Roman"/>
          <w:i/>
          <w:iCs/>
        </w:rPr>
        <w:t>traducttologia</w:t>
      </w:r>
      <w:proofErr w:type="spellEnd"/>
      <w:r>
        <w:rPr>
          <w:rFonts w:ascii="Times New Roman" w:hAnsi="Times New Roman" w:cs="Times New Roman"/>
          <w:i/>
          <w:iCs/>
        </w:rPr>
        <w:t xml:space="preserve"> </w:t>
      </w:r>
      <w:proofErr w:type="spellStart"/>
      <w:r>
        <w:rPr>
          <w:rFonts w:ascii="Times New Roman" w:hAnsi="Times New Roman" w:cs="Times New Roman"/>
          <w:i/>
          <w:iCs/>
        </w:rPr>
        <w:t>giuridica</w:t>
      </w:r>
      <w:proofErr w:type="spellEnd"/>
      <w:r>
        <w:rPr>
          <w:rFonts w:ascii="Times New Roman" w:hAnsi="Times New Roman" w:cs="Times New Roman"/>
          <w:i/>
          <w:iCs/>
        </w:rPr>
        <w:t xml:space="preserve"> </w:t>
      </w:r>
      <w:r>
        <w:rPr>
          <w:rFonts w:ascii="Times New Roman" w:hAnsi="Times New Roman" w:cs="Times New Roman"/>
        </w:rPr>
        <w:t xml:space="preserve">, Rome, </w:t>
      </w:r>
      <w:proofErr w:type="spellStart"/>
      <w:r>
        <w:rPr>
          <w:rFonts w:ascii="Times New Roman" w:hAnsi="Times New Roman" w:cs="Times New Roman"/>
        </w:rPr>
        <w:t>Academia</w:t>
      </w:r>
      <w:proofErr w:type="spellEnd"/>
      <w:r>
        <w:rPr>
          <w:rFonts w:ascii="Times New Roman" w:hAnsi="Times New Roman" w:cs="Times New Roman"/>
        </w:rPr>
        <w:t xml:space="preserve"> </w:t>
      </w:r>
      <w:proofErr w:type="spellStart"/>
      <w:r>
        <w:rPr>
          <w:rFonts w:ascii="Times New Roman" w:hAnsi="Times New Roman" w:cs="Times New Roman"/>
        </w:rPr>
        <w:t>Nazionale</w:t>
      </w:r>
      <w:proofErr w:type="spellEnd"/>
      <w:r>
        <w:rPr>
          <w:rFonts w:ascii="Times New Roman" w:hAnsi="Times New Roman" w:cs="Times New Roman"/>
        </w:rPr>
        <w:t xml:space="preserve"> dei </w:t>
      </w:r>
      <w:proofErr w:type="spellStart"/>
      <w:r>
        <w:rPr>
          <w:rFonts w:ascii="Times New Roman" w:hAnsi="Times New Roman" w:cs="Times New Roman"/>
        </w:rPr>
        <w:t>Lincei</w:t>
      </w:r>
      <w:proofErr w:type="spellEnd"/>
      <w:r>
        <w:rPr>
          <w:rFonts w:ascii="Times New Roman" w:hAnsi="Times New Roman" w:cs="Times New Roman"/>
        </w:rPr>
        <w:t xml:space="preserve">, </w:t>
      </w:r>
      <w:proofErr w:type="spellStart"/>
      <w:r>
        <w:rPr>
          <w:rFonts w:ascii="Times New Roman" w:hAnsi="Times New Roman" w:cs="Times New Roman"/>
        </w:rPr>
        <w:t>Atti</w:t>
      </w:r>
      <w:proofErr w:type="spellEnd"/>
      <w:r>
        <w:rPr>
          <w:rFonts w:ascii="Times New Roman" w:hAnsi="Times New Roman" w:cs="Times New Roman"/>
        </w:rPr>
        <w:t xml:space="preserve"> dei </w:t>
      </w:r>
      <w:proofErr w:type="spellStart"/>
      <w:r>
        <w:rPr>
          <w:rFonts w:ascii="Times New Roman" w:hAnsi="Times New Roman" w:cs="Times New Roman"/>
        </w:rPr>
        <w:t>convegni</w:t>
      </w:r>
      <w:proofErr w:type="spellEnd"/>
      <w:r>
        <w:rPr>
          <w:rFonts w:ascii="Times New Roman" w:hAnsi="Times New Roman" w:cs="Times New Roman"/>
        </w:rPr>
        <w:t xml:space="preserve"> </w:t>
      </w:r>
      <w:proofErr w:type="spellStart"/>
      <w:r>
        <w:rPr>
          <w:rFonts w:ascii="Times New Roman" w:hAnsi="Times New Roman" w:cs="Times New Roman"/>
        </w:rPr>
        <w:t>Lincei</w:t>
      </w:r>
      <w:proofErr w:type="spellEnd"/>
      <w:r>
        <w:rPr>
          <w:rFonts w:ascii="Times New Roman" w:hAnsi="Times New Roman" w:cs="Times New Roman"/>
        </w:rPr>
        <w:t xml:space="preserve"> 253, p. 99-133.  </w:t>
      </w:r>
    </w:p>
    <w:p w:rsidR="00235972" w:rsidRDefault="00235972" w:rsidP="00376CEB">
      <w:pPr>
        <w:pStyle w:val="Corpsdetexte"/>
        <w:spacing w:line="240" w:lineRule="auto"/>
      </w:pPr>
      <w:r>
        <w:rPr>
          <w:rFonts w:ascii="Times New Roman" w:hAnsi="Times New Roman"/>
        </w:rPr>
        <w:t xml:space="preserve">Le Roy Étienne, 2009b, </w:t>
      </w:r>
      <w:r>
        <w:t xml:space="preserve"> “Violence de la fonction symbolique et institutionnalisation du droit, contribution à une anthropologie de la juridicité et du pluralisme normatif”, </w:t>
      </w:r>
      <w:proofErr w:type="spellStart"/>
      <w:r>
        <w:rPr>
          <w:i/>
        </w:rPr>
        <w:t>Begegnungen</w:t>
      </w:r>
      <w:proofErr w:type="spellEnd"/>
      <w:r>
        <w:rPr>
          <w:i/>
        </w:rPr>
        <w:t xml:space="preserve"> </w:t>
      </w:r>
      <w:proofErr w:type="spellStart"/>
      <w:r>
        <w:rPr>
          <w:i/>
        </w:rPr>
        <w:t>und</w:t>
      </w:r>
      <w:proofErr w:type="spellEnd"/>
      <w:r>
        <w:rPr>
          <w:i/>
        </w:rPr>
        <w:t xml:space="preserve"> </w:t>
      </w:r>
      <w:proofErr w:type="spellStart"/>
      <w:r>
        <w:rPr>
          <w:i/>
        </w:rPr>
        <w:t>Auseinandersetzungen</w:t>
      </w:r>
      <w:proofErr w:type="spellEnd"/>
      <w:r>
        <w:rPr>
          <w:i/>
        </w:rPr>
        <w:t xml:space="preserve">, </w:t>
      </w:r>
      <w:proofErr w:type="spellStart"/>
      <w:r>
        <w:rPr>
          <w:i/>
        </w:rPr>
        <w:t>Festschrift</w:t>
      </w:r>
      <w:proofErr w:type="spellEnd"/>
      <w:r>
        <w:rPr>
          <w:i/>
        </w:rPr>
        <w:t xml:space="preserve"> </w:t>
      </w:r>
      <w:proofErr w:type="spellStart"/>
      <w:r>
        <w:rPr>
          <w:i/>
        </w:rPr>
        <w:t>für</w:t>
      </w:r>
      <w:proofErr w:type="spellEnd"/>
      <w:r>
        <w:rPr>
          <w:i/>
        </w:rPr>
        <w:t xml:space="preserve"> </w:t>
      </w:r>
      <w:proofErr w:type="spellStart"/>
      <w:r w:rsidRPr="00527E01">
        <w:rPr>
          <w:i/>
        </w:rPr>
        <w:t>Trutz</w:t>
      </w:r>
      <w:proofErr w:type="spellEnd"/>
      <w:r w:rsidRPr="00527E01">
        <w:rPr>
          <w:i/>
        </w:rPr>
        <w:t xml:space="preserve"> </w:t>
      </w:r>
      <w:proofErr w:type="spellStart"/>
      <w:r w:rsidRPr="00527E01">
        <w:rPr>
          <w:i/>
        </w:rPr>
        <w:t>von</w:t>
      </w:r>
      <w:proofErr w:type="spellEnd"/>
      <w:r w:rsidRPr="00527E01">
        <w:rPr>
          <w:i/>
        </w:rPr>
        <w:t xml:space="preserve"> </w:t>
      </w:r>
      <w:proofErr w:type="spellStart"/>
      <w:r w:rsidRPr="00527E01">
        <w:rPr>
          <w:i/>
        </w:rPr>
        <w:t>Trotha</w:t>
      </w:r>
      <w:proofErr w:type="spellEnd"/>
      <w:r>
        <w:t xml:space="preserve">, édités par </w:t>
      </w:r>
      <w:proofErr w:type="spellStart"/>
      <w:r>
        <w:t>Katharina</w:t>
      </w:r>
      <w:proofErr w:type="spellEnd"/>
      <w:r>
        <w:t xml:space="preserve"> </w:t>
      </w:r>
      <w:proofErr w:type="spellStart"/>
      <w:r>
        <w:t>Inhentveen</w:t>
      </w:r>
      <w:proofErr w:type="spellEnd"/>
      <w:r>
        <w:t xml:space="preserve"> </w:t>
      </w:r>
      <w:proofErr w:type="spellStart"/>
      <w:r>
        <w:t>und</w:t>
      </w:r>
      <w:proofErr w:type="spellEnd"/>
      <w:r>
        <w:t xml:space="preserve"> Georg </w:t>
      </w:r>
      <w:proofErr w:type="spellStart"/>
      <w:r>
        <w:t>Klute</w:t>
      </w:r>
      <w:proofErr w:type="spellEnd"/>
      <w:r>
        <w:t xml:space="preserve">, </w:t>
      </w:r>
      <w:proofErr w:type="spellStart"/>
      <w:r>
        <w:t>Köln</w:t>
      </w:r>
      <w:proofErr w:type="spellEnd"/>
      <w:r>
        <w:t xml:space="preserve">, </w:t>
      </w:r>
      <w:proofErr w:type="spellStart"/>
      <w:r>
        <w:t>Rüdiger</w:t>
      </w:r>
      <w:proofErr w:type="spellEnd"/>
      <w:r>
        <w:t xml:space="preserve"> </w:t>
      </w:r>
      <w:proofErr w:type="spellStart"/>
      <w:r>
        <w:t>Köppe</w:t>
      </w:r>
      <w:proofErr w:type="spellEnd"/>
      <w:r>
        <w:t xml:space="preserve"> </w:t>
      </w:r>
      <w:proofErr w:type="spellStart"/>
      <w:r>
        <w:t>Verlag</w:t>
      </w:r>
      <w:proofErr w:type="spellEnd"/>
      <w:r>
        <w:t>, p. 12-30.</w:t>
      </w:r>
    </w:p>
    <w:p w:rsidR="00863B37" w:rsidRPr="00255FF1" w:rsidRDefault="00235972" w:rsidP="00255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Times New Roman" w:hAnsi="Times New Roman" w:cs="Times New Roman"/>
        </w:rPr>
        <w:t xml:space="preserve"> </w:t>
      </w:r>
      <w:r w:rsidRPr="007E15CB">
        <w:t xml:space="preserve">Le Roy </w:t>
      </w:r>
      <w:r w:rsidRPr="007E15CB">
        <w:rPr>
          <w:rFonts w:ascii="Cambria" w:hAnsi="Cambria"/>
        </w:rPr>
        <w:t>É</w:t>
      </w:r>
      <w:r w:rsidRPr="007E15CB">
        <w:t>tienne</w:t>
      </w:r>
      <w:r>
        <w:t xml:space="preserve">, 2011, </w:t>
      </w:r>
      <w:r>
        <w:rPr>
          <w:i/>
        </w:rPr>
        <w:t>La terre de l’autre, une anthropologie des régimes d’appropriation foncière</w:t>
      </w:r>
      <w:r>
        <w:t>, Paris, LGDJ, col. Droit et société, 441p.</w:t>
      </w:r>
      <w:r w:rsidR="00422321" w:rsidRPr="00422321">
        <w:rPr>
          <w:rFonts w:ascii="Times New Roman" w:hAnsi="Times New Roman" w:cs="Cambria"/>
          <w:szCs w:val="26"/>
          <w:lang w:eastAsia="es-ES" w:bidi="ks-Deva"/>
        </w:rPr>
        <w:t xml:space="preserve"> </w:t>
      </w:r>
    </w:p>
    <w:p w:rsidR="00422321" w:rsidRPr="00863B37" w:rsidRDefault="00863B37" w:rsidP="00863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Le Roy Étienne</w:t>
      </w:r>
      <w:r>
        <w:rPr>
          <w:rFonts w:ascii="Times New Roman" w:hAnsi="Times New Roman" w:cs="Cambria"/>
          <w:szCs w:val="26"/>
          <w:lang w:eastAsia="es-ES" w:bidi="ks-Deva"/>
        </w:rPr>
        <w:t xml:space="preserve">, 2011b, </w:t>
      </w:r>
      <w:r w:rsidRPr="00863B37">
        <w:rPr>
          <w:rFonts w:ascii="Times New Roman" w:hAnsi="Times New Roman" w:cs="Cambria"/>
          <w:i/>
          <w:szCs w:val="26"/>
          <w:lang w:eastAsia="es-ES" w:bidi="ks-Deva"/>
        </w:rPr>
        <w:t>La révolution de la juridicité, une réponse à la mondialisation</w:t>
      </w:r>
      <w:r>
        <w:rPr>
          <w:rFonts w:ascii="Times New Roman" w:hAnsi="Times New Roman" w:cs="Cambria"/>
          <w:szCs w:val="26"/>
          <w:lang w:eastAsia="es-ES" w:bidi="ks-Deva"/>
        </w:rPr>
        <w:t xml:space="preserve">, </w:t>
      </w:r>
      <w:r w:rsidR="00143C18">
        <w:rPr>
          <w:rFonts w:ascii="Times" w:hAnsi="Times" w:cs="Times"/>
          <w:sz w:val="22"/>
          <w:szCs w:val="22"/>
        </w:rPr>
        <w:t>Communication inaugurale,</w:t>
      </w:r>
      <w:r>
        <w:rPr>
          <w:rFonts w:ascii="Times" w:hAnsi="Times" w:cs="Times"/>
          <w:sz w:val="22"/>
          <w:szCs w:val="22"/>
        </w:rPr>
        <w:t xml:space="preserve"> </w:t>
      </w:r>
      <w:proofErr w:type="spellStart"/>
      <w:r>
        <w:rPr>
          <w:rFonts w:ascii="Times" w:hAnsi="Times" w:cs="Times"/>
          <w:sz w:val="22"/>
          <w:szCs w:val="22"/>
        </w:rPr>
        <w:t>Encontro</w:t>
      </w:r>
      <w:proofErr w:type="spellEnd"/>
      <w:r>
        <w:rPr>
          <w:rFonts w:ascii="Times" w:hAnsi="Times" w:cs="Times"/>
          <w:sz w:val="22"/>
          <w:szCs w:val="22"/>
        </w:rPr>
        <w:t xml:space="preserve"> </w:t>
      </w:r>
      <w:proofErr w:type="spellStart"/>
      <w:r>
        <w:rPr>
          <w:rFonts w:ascii="Times" w:hAnsi="Times" w:cs="Times"/>
          <w:sz w:val="22"/>
          <w:szCs w:val="22"/>
        </w:rPr>
        <w:t>Nacional</w:t>
      </w:r>
      <w:proofErr w:type="spellEnd"/>
      <w:r>
        <w:rPr>
          <w:rFonts w:ascii="Times" w:hAnsi="Times" w:cs="Times"/>
          <w:sz w:val="22"/>
          <w:szCs w:val="22"/>
        </w:rPr>
        <w:t xml:space="preserve"> de </w:t>
      </w:r>
      <w:proofErr w:type="spellStart"/>
      <w:r>
        <w:rPr>
          <w:rFonts w:ascii="Times" w:hAnsi="Times" w:cs="Times"/>
          <w:sz w:val="22"/>
          <w:szCs w:val="22"/>
        </w:rPr>
        <w:t>Antropologia</w:t>
      </w:r>
      <w:proofErr w:type="spellEnd"/>
      <w:r>
        <w:rPr>
          <w:rFonts w:ascii="Times" w:hAnsi="Times" w:cs="Times"/>
          <w:sz w:val="22"/>
          <w:szCs w:val="22"/>
        </w:rPr>
        <w:t xml:space="preserve"> do </w:t>
      </w:r>
      <w:proofErr w:type="spellStart"/>
      <w:r>
        <w:rPr>
          <w:rFonts w:ascii="Times" w:hAnsi="Times" w:cs="Times"/>
          <w:sz w:val="22"/>
          <w:szCs w:val="22"/>
        </w:rPr>
        <w:t>Direito</w:t>
      </w:r>
      <w:proofErr w:type="spellEnd"/>
      <w:r>
        <w:rPr>
          <w:rFonts w:ascii="Times" w:hAnsi="Times" w:cs="Times"/>
          <w:sz w:val="22"/>
          <w:szCs w:val="22"/>
        </w:rPr>
        <w:t xml:space="preserve"> du 31 août 2011, </w:t>
      </w:r>
      <w:proofErr w:type="spellStart"/>
      <w:r>
        <w:rPr>
          <w:rFonts w:ascii="Times" w:hAnsi="Times" w:cs="Times"/>
          <w:sz w:val="22"/>
          <w:szCs w:val="22"/>
        </w:rPr>
        <w:t>Sâo</w:t>
      </w:r>
      <w:proofErr w:type="spellEnd"/>
      <w:r>
        <w:rPr>
          <w:rFonts w:ascii="Times" w:hAnsi="Times" w:cs="Times"/>
          <w:sz w:val="22"/>
          <w:szCs w:val="22"/>
        </w:rPr>
        <w:t xml:space="preserve"> Paulo</w:t>
      </w:r>
      <w:r w:rsidR="00143C18">
        <w:rPr>
          <w:rFonts w:ascii="Times" w:hAnsi="Times" w:cs="Times"/>
          <w:sz w:val="22"/>
          <w:szCs w:val="22"/>
        </w:rPr>
        <w:t xml:space="preserve"> (Brésil)</w:t>
      </w:r>
      <w:r>
        <w:rPr>
          <w:rFonts w:ascii="Times" w:hAnsi="Times" w:cs="Times"/>
          <w:sz w:val="22"/>
          <w:szCs w:val="22"/>
        </w:rPr>
        <w:t>.</w:t>
      </w:r>
    </w:p>
    <w:p w:rsidR="00235972" w:rsidRPr="00422321" w:rsidRDefault="00422321" w:rsidP="00255FF1">
      <w:pPr>
        <w:spacing w:after="0"/>
        <w:jc w:val="both"/>
      </w:pPr>
      <w:r>
        <w:rPr>
          <w:rFonts w:ascii="Times New Roman" w:hAnsi="Times New Roman" w:cs="Times New Roman"/>
        </w:rPr>
        <w:t>Le Roy Étienne, 2013,</w:t>
      </w:r>
      <w:r>
        <w:rPr>
          <w:rFonts w:ascii="Times New Roman" w:hAnsi="Times New Roman" w:cs="Cambria"/>
          <w:szCs w:val="26"/>
          <w:lang w:eastAsia="es-ES" w:bidi="ks-Deva"/>
        </w:rPr>
        <w:t xml:space="preserve"> «  La juridicité du don, approche anthropologique, » Nathalie Jacquinot (</w:t>
      </w:r>
      <w:proofErr w:type="spellStart"/>
      <w:r>
        <w:rPr>
          <w:rFonts w:ascii="Times New Roman" w:hAnsi="Times New Roman" w:cs="Cambria"/>
          <w:szCs w:val="26"/>
          <w:lang w:eastAsia="es-ES" w:bidi="ks-Deva"/>
        </w:rPr>
        <w:t>ed</w:t>
      </w:r>
      <w:proofErr w:type="spellEnd"/>
      <w:r>
        <w:rPr>
          <w:rFonts w:ascii="Times New Roman" w:hAnsi="Times New Roman" w:cs="Cambria"/>
          <w:szCs w:val="26"/>
          <w:lang w:eastAsia="es-ES" w:bidi="ks-Deva"/>
        </w:rPr>
        <w:t>.)  </w:t>
      </w:r>
      <w:r>
        <w:rPr>
          <w:rFonts w:ascii="Times New Roman" w:hAnsi="Times New Roman" w:cs="Cambria"/>
          <w:i/>
          <w:szCs w:val="26"/>
          <w:lang w:eastAsia="es-ES" w:bidi="ks-Deva"/>
        </w:rPr>
        <w:t>Le don en droit public.</w:t>
      </w:r>
      <w:r>
        <w:rPr>
          <w:rFonts w:ascii="Times New Roman" w:hAnsi="Times New Roman" w:cs="Cambria"/>
          <w:szCs w:val="26"/>
          <w:lang w:eastAsia="es-ES" w:bidi="ks-Deva"/>
        </w:rPr>
        <w:t xml:space="preserve"> Toulouse, Université Toulouse 1-IPR, p. 9-39.</w:t>
      </w:r>
    </w:p>
    <w:p w:rsidR="00235972" w:rsidRPr="0079521E" w:rsidRDefault="001B1C6C" w:rsidP="00235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rPr>
      </w:pPr>
      <w:r>
        <w:rPr>
          <w:rFonts w:ascii="Times New Roman" w:hAnsi="Times New Roman" w:cs="Times New Roman"/>
        </w:rPr>
        <w:t xml:space="preserve">Le Roy Étienne, à paraître, «  Sous les pavés du </w:t>
      </w:r>
      <w:proofErr w:type="spellStart"/>
      <w:r>
        <w:rPr>
          <w:rFonts w:ascii="Times New Roman" w:hAnsi="Times New Roman" w:cs="Times New Roman"/>
        </w:rPr>
        <w:t>monologisme</w:t>
      </w:r>
      <w:proofErr w:type="spellEnd"/>
      <w:r>
        <w:rPr>
          <w:rFonts w:ascii="Times New Roman" w:hAnsi="Times New Roman" w:cs="Times New Roman"/>
        </w:rPr>
        <w:t xml:space="preserve"> juridique</w:t>
      </w:r>
      <w:r w:rsidR="00143C18">
        <w:rPr>
          <w:rFonts w:ascii="Times New Roman" w:hAnsi="Times New Roman" w:cs="Times New Roman"/>
        </w:rPr>
        <w:t>,</w:t>
      </w:r>
      <w:r>
        <w:rPr>
          <w:rFonts w:ascii="Times New Roman" w:hAnsi="Times New Roman" w:cs="Times New Roman"/>
        </w:rPr>
        <w:t xml:space="preserve"> la plage d</w:t>
      </w:r>
      <w:r w:rsidR="00863B37">
        <w:rPr>
          <w:rFonts w:ascii="Times New Roman" w:hAnsi="Times New Roman" w:cs="Times New Roman"/>
        </w:rPr>
        <w:t xml:space="preserve">es pratiques </w:t>
      </w:r>
      <w:proofErr w:type="spellStart"/>
      <w:r w:rsidR="00863B37">
        <w:rPr>
          <w:rFonts w:ascii="Times New Roman" w:hAnsi="Times New Roman" w:cs="Times New Roman"/>
        </w:rPr>
        <w:t>néo-communautaires</w:t>
      </w:r>
      <w:proofErr w:type="spellEnd"/>
      <w:r>
        <w:rPr>
          <w:rFonts w:ascii="Times New Roman" w:hAnsi="Times New Roman" w:cs="Times New Roman"/>
        </w:rPr>
        <w:t xml:space="preserve">.  Colloque </w:t>
      </w:r>
      <w:r w:rsidR="00863B37" w:rsidRPr="00143C18">
        <w:rPr>
          <w:rFonts w:ascii="Times New Roman" w:hAnsi="Times New Roman" w:cs="Times New Roman"/>
          <w:i/>
        </w:rPr>
        <w:t>Les communs</w:t>
      </w:r>
      <w:r w:rsidR="00863B37">
        <w:rPr>
          <w:rFonts w:ascii="Times New Roman" w:hAnsi="Times New Roman" w:cs="Times New Roman"/>
        </w:rPr>
        <w:t xml:space="preserve">, Université Paris 8, octobre 2012. </w:t>
      </w:r>
    </w:p>
    <w:p w:rsidR="00484A01" w:rsidRDefault="00484A01" w:rsidP="00255FF1">
      <w:pPr>
        <w:spacing w:after="0"/>
        <w:jc w:val="both"/>
      </w:pPr>
      <w:r>
        <w:t>Lévi-Strauss</w:t>
      </w:r>
      <w:r w:rsidR="00235972">
        <w:t xml:space="preserve"> Claude, </w:t>
      </w:r>
      <w:r w:rsidR="00376CEB">
        <w:t xml:space="preserve">1958, </w:t>
      </w:r>
      <w:r w:rsidR="00376CEB">
        <w:rPr>
          <w:i/>
        </w:rPr>
        <w:t>Anthropologie structurale</w:t>
      </w:r>
      <w:r w:rsidR="00235972">
        <w:t xml:space="preserve"> Paris, </w:t>
      </w:r>
      <w:r w:rsidR="00376CEB">
        <w:t xml:space="preserve">Plon. </w:t>
      </w:r>
    </w:p>
    <w:p w:rsidR="00235972" w:rsidRPr="00484A01" w:rsidRDefault="00484A01" w:rsidP="00255FF1">
      <w:pPr>
        <w:spacing w:after="0"/>
        <w:jc w:val="both"/>
      </w:pPr>
      <w:r>
        <w:t xml:space="preserve">Mauss Marcel, 1960, </w:t>
      </w:r>
      <w:r>
        <w:rPr>
          <w:i/>
        </w:rPr>
        <w:t xml:space="preserve">Sociologie et anthropologie, </w:t>
      </w:r>
      <w:r>
        <w:t>P</w:t>
      </w:r>
      <w:r w:rsidR="001B1C6C">
        <w:t>aris, PUF, Bibliothèq</w:t>
      </w:r>
      <w:r>
        <w:t xml:space="preserve">ue de sociologie contemporaine. </w:t>
      </w:r>
    </w:p>
    <w:p w:rsidR="00235972" w:rsidRPr="00A30749" w:rsidRDefault="00235972" w:rsidP="00255FF1">
      <w:pPr>
        <w:spacing w:after="0"/>
        <w:jc w:val="both"/>
      </w:pPr>
      <w:r>
        <w:t xml:space="preserve">Moore Sally, 1978,  </w:t>
      </w:r>
      <w:r>
        <w:rPr>
          <w:i/>
        </w:rPr>
        <w:t xml:space="preserve">Law as </w:t>
      </w:r>
      <w:proofErr w:type="spellStart"/>
      <w:r>
        <w:rPr>
          <w:i/>
        </w:rPr>
        <w:t>Process</w:t>
      </w:r>
      <w:proofErr w:type="spellEnd"/>
      <w:r>
        <w:rPr>
          <w:i/>
        </w:rPr>
        <w:t xml:space="preserve">, an </w:t>
      </w:r>
      <w:proofErr w:type="spellStart"/>
      <w:r>
        <w:rPr>
          <w:i/>
        </w:rPr>
        <w:t>Anthropological</w:t>
      </w:r>
      <w:proofErr w:type="spellEnd"/>
      <w:r>
        <w:rPr>
          <w:i/>
        </w:rPr>
        <w:t xml:space="preserve"> </w:t>
      </w:r>
      <w:proofErr w:type="spellStart"/>
      <w:r>
        <w:rPr>
          <w:i/>
        </w:rPr>
        <w:t>Approach</w:t>
      </w:r>
      <w:proofErr w:type="spellEnd"/>
      <w:r>
        <w:rPr>
          <w:i/>
        </w:rPr>
        <w:t xml:space="preserve">, </w:t>
      </w:r>
      <w:r>
        <w:t xml:space="preserve">London, </w:t>
      </w:r>
      <w:proofErr w:type="spellStart"/>
      <w:r>
        <w:t>Routledge</w:t>
      </w:r>
      <w:proofErr w:type="spellEnd"/>
      <w:r>
        <w:t xml:space="preserve"> and </w:t>
      </w:r>
      <w:proofErr w:type="spellStart"/>
      <w:r>
        <w:t>Kegan</w:t>
      </w:r>
      <w:proofErr w:type="spellEnd"/>
      <w:r>
        <w:t xml:space="preserve"> Paul.</w:t>
      </w:r>
    </w:p>
    <w:p w:rsidR="00FE2EDF" w:rsidRPr="00541B6F" w:rsidRDefault="00B86EDF" w:rsidP="00AA244B">
      <w:pPr>
        <w:jc w:val="both"/>
      </w:pPr>
      <w:r>
        <w:t>Moore Sally Falk,</w:t>
      </w:r>
      <w:r w:rsidR="00376CEB">
        <w:t xml:space="preserve"> 1986, </w:t>
      </w:r>
      <w:r w:rsidR="00376CEB">
        <w:rPr>
          <w:i/>
        </w:rPr>
        <w:t xml:space="preserve">Social </w:t>
      </w:r>
      <w:proofErr w:type="spellStart"/>
      <w:r w:rsidR="00376CEB">
        <w:rPr>
          <w:i/>
        </w:rPr>
        <w:t>facts</w:t>
      </w:r>
      <w:proofErr w:type="spellEnd"/>
      <w:r w:rsidR="00376CEB">
        <w:rPr>
          <w:i/>
        </w:rPr>
        <w:t xml:space="preserve"> and fabrication. </w:t>
      </w:r>
      <w:proofErr w:type="spellStart"/>
      <w:r w:rsidR="00376CEB">
        <w:rPr>
          <w:i/>
        </w:rPr>
        <w:t>C</w:t>
      </w:r>
      <w:r w:rsidR="00014C82" w:rsidRPr="00950B85">
        <w:rPr>
          <w:i/>
        </w:rPr>
        <w:t>ustomary</w:t>
      </w:r>
      <w:proofErr w:type="spellEnd"/>
      <w:r w:rsidR="00014C82" w:rsidRPr="00950B85">
        <w:rPr>
          <w:i/>
        </w:rPr>
        <w:t xml:space="preserve"> Law on Kilimandjaro 1880-1980</w:t>
      </w:r>
      <w:r w:rsidR="00950B85">
        <w:t>"</w:t>
      </w:r>
      <w:r w:rsidR="00014C82">
        <w:t>,</w:t>
      </w:r>
      <w:r w:rsidR="00460962">
        <w:t xml:space="preserve"> Cambridge, Cambridge </w:t>
      </w:r>
      <w:proofErr w:type="spellStart"/>
      <w:r w:rsidR="00460962">
        <w:t>University</w:t>
      </w:r>
      <w:proofErr w:type="spellEnd"/>
      <w:r w:rsidR="00460962">
        <w:t xml:space="preserve"> </w:t>
      </w:r>
      <w:proofErr w:type="spellStart"/>
      <w:r w:rsidR="00460962">
        <w:t>Press</w:t>
      </w:r>
      <w:proofErr w:type="spellEnd"/>
      <w:r w:rsidR="00460962">
        <w:t xml:space="preserve">, The Lewis Henry Morgan lectures 1984. </w:t>
      </w:r>
    </w:p>
    <w:sectPr w:rsidR="00FE2EDF" w:rsidRPr="00541B6F" w:rsidSect="00615ADF">
      <w:headerReference w:type="even" r:id="rId5"/>
      <w:headerReference w:type="default" r:id="rId6"/>
      <w:pgSz w:w="11900" w:h="16840"/>
      <w:pgMar w:top="1417" w:right="1417" w:bottom="1417" w:left="1417" w:header="708" w:footer="708" w:gutter="0"/>
      <w:cols w:space="708"/>
      <w:titlePg/>
      <w:printerSettings r:id="rId7"/>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446BDD" w:rsidRPr="00091E56" w:rsidRDefault="00446BDD" w:rsidP="00330A51">
      <w:pPr>
        <w:pStyle w:val="Notedebasdepage"/>
        <w:jc w:val="both"/>
      </w:pPr>
      <w:r>
        <w:rPr>
          <w:rStyle w:val="Marquenotebasdepage"/>
        </w:rPr>
        <w:footnoteRef/>
      </w:r>
      <w:r>
        <w:t xml:space="preserve"> Professeur émérite d’anthropologie du droit, ancien directeur du Laboratoire d’anthropologie juridique de Paris (LAJP), Université Paris 1 </w:t>
      </w:r>
      <w:proofErr w:type="spellStart"/>
      <w:r>
        <w:t>Panthéon-Sorbonne</w:t>
      </w:r>
      <w:proofErr w:type="spellEnd"/>
      <w:r>
        <w:t xml:space="preserve">. Communication au workshop </w:t>
      </w:r>
      <w:proofErr w:type="spellStart"/>
      <w:r>
        <w:rPr>
          <w:i/>
        </w:rPr>
        <w:t>Conflict</w:t>
      </w:r>
      <w:proofErr w:type="spellEnd"/>
      <w:r>
        <w:rPr>
          <w:i/>
        </w:rPr>
        <w:t xml:space="preserve"> and </w:t>
      </w:r>
      <w:proofErr w:type="spellStart"/>
      <w:r>
        <w:rPr>
          <w:i/>
        </w:rPr>
        <w:t>Antagonism</w:t>
      </w:r>
      <w:proofErr w:type="spellEnd"/>
      <w:r>
        <w:rPr>
          <w:i/>
        </w:rPr>
        <w:t xml:space="preserve"> in Nietzsche and </w:t>
      </w:r>
      <w:proofErr w:type="spellStart"/>
      <w:r>
        <w:rPr>
          <w:i/>
        </w:rPr>
        <w:t>Beyond</w:t>
      </w:r>
      <w:proofErr w:type="spellEnd"/>
      <w:r w:rsidRPr="00091E56">
        <w:t xml:space="preserve">, </w:t>
      </w:r>
      <w:proofErr w:type="spellStart"/>
      <w:r>
        <w:t>Leiden</w:t>
      </w:r>
      <w:proofErr w:type="spellEnd"/>
      <w:r>
        <w:t xml:space="preserve">, </w:t>
      </w:r>
      <w:r w:rsidRPr="00091E56">
        <w:t>mars 2013</w:t>
      </w:r>
      <w:r>
        <w:t>.</w:t>
      </w:r>
    </w:p>
  </w:footnote>
  <w:footnote w:id="1">
    <w:p w:rsidR="00446BDD" w:rsidRPr="00541B6F" w:rsidRDefault="00446BDD" w:rsidP="00794205">
      <w:pPr>
        <w:jc w:val="both"/>
      </w:pPr>
      <w:r>
        <w:rPr>
          <w:rStyle w:val="Marquenotebasdepage"/>
        </w:rPr>
        <w:footnoteRef/>
      </w:r>
      <w:r>
        <w:t xml:space="preserve"> Pour dire les choses simplement, Nietzsche  et Kant ne sont pas nos auteurs habituels mais nous sommes préparés intellectuellement à redécouvrir l’apport potentiel de Nietzsche et son « Ainsi parlait Zarathoustra ».  Pour Kant, c’est autre chose.</w:t>
      </w:r>
    </w:p>
    <w:p w:rsidR="00446BDD" w:rsidRDefault="00446BDD">
      <w:pPr>
        <w:pStyle w:val="Notedebasdepage"/>
      </w:pPr>
    </w:p>
  </w:footnote>
  <w:footnote w:id="2">
    <w:p w:rsidR="00446BDD" w:rsidRDefault="00446BDD" w:rsidP="0015140D">
      <w:pPr>
        <w:pStyle w:val="Notedebasdepage"/>
        <w:jc w:val="both"/>
      </w:pPr>
      <w:r>
        <w:rPr>
          <w:rStyle w:val="Marquenotebasdepage"/>
        </w:rPr>
        <w:footnoteRef/>
      </w:r>
      <w:r>
        <w:t xml:space="preserve"> C’est une autre spécificité de nos démarches, depuis </w:t>
      </w:r>
      <w:r>
        <w:rPr>
          <w:i/>
        </w:rPr>
        <w:t>Le jeu des lois,</w:t>
      </w:r>
      <w:r>
        <w:t xml:space="preserve"> que de se préoccuper du sens initial des termes non par enfermement dans une « essence notionnelle » originelle mais pour saisir le travail épistémique dont un terme a été l’objet, donc son épaisseur notionnelle et conceptuelle. </w:t>
      </w:r>
    </w:p>
  </w:footnote>
  <w:footnote w:id="3">
    <w:p w:rsidR="00446BDD" w:rsidRDefault="00446BDD">
      <w:pPr>
        <w:pStyle w:val="Notedebasdepage"/>
      </w:pPr>
      <w:r>
        <w:rPr>
          <w:rStyle w:val="Marquenotebasdepage"/>
        </w:rPr>
        <w:footnoteRef/>
      </w:r>
      <w:r>
        <w:t xml:space="preserve"> On parle aussi de conjonction et on peut envisager d’autres formules de complémentarité.</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46BDD" w:rsidRDefault="00446BDD" w:rsidP="00A40EEC">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446BDD" w:rsidRDefault="00446BDD">
    <w:pPr>
      <w:pStyle w:val="En-tt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46BDD" w:rsidRDefault="00446BDD" w:rsidP="00A40EEC">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B4DC0">
      <w:rPr>
        <w:rStyle w:val="Numrodepage"/>
        <w:noProof/>
      </w:rPr>
      <w:t>2</w:t>
    </w:r>
    <w:r>
      <w:rPr>
        <w:rStyle w:val="Numrodepage"/>
      </w:rPr>
      <w:fldChar w:fldCharType="end"/>
    </w:r>
  </w:p>
  <w:p w:rsidR="00446BDD" w:rsidRDefault="00446BD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704CA"/>
    <w:rsid w:val="00014C82"/>
    <w:rsid w:val="0002306A"/>
    <w:rsid w:val="0002450C"/>
    <w:rsid w:val="00024793"/>
    <w:rsid w:val="000704CA"/>
    <w:rsid w:val="00091E56"/>
    <w:rsid w:val="000F4974"/>
    <w:rsid w:val="00100757"/>
    <w:rsid w:val="00130831"/>
    <w:rsid w:val="00143C18"/>
    <w:rsid w:val="0015140D"/>
    <w:rsid w:val="00154F2B"/>
    <w:rsid w:val="00167F05"/>
    <w:rsid w:val="001B1C6C"/>
    <w:rsid w:val="001B49F0"/>
    <w:rsid w:val="001B6FD7"/>
    <w:rsid w:val="001B7235"/>
    <w:rsid w:val="001C207A"/>
    <w:rsid w:val="00235972"/>
    <w:rsid w:val="00255972"/>
    <w:rsid w:val="00255FF1"/>
    <w:rsid w:val="00307FAE"/>
    <w:rsid w:val="00330A51"/>
    <w:rsid w:val="003371A0"/>
    <w:rsid w:val="003439A3"/>
    <w:rsid w:val="00344160"/>
    <w:rsid w:val="00354286"/>
    <w:rsid w:val="00357231"/>
    <w:rsid w:val="00376CEB"/>
    <w:rsid w:val="003B616D"/>
    <w:rsid w:val="003F2AC5"/>
    <w:rsid w:val="00422321"/>
    <w:rsid w:val="0042726F"/>
    <w:rsid w:val="00433B9C"/>
    <w:rsid w:val="00446BDD"/>
    <w:rsid w:val="00454E1C"/>
    <w:rsid w:val="00460962"/>
    <w:rsid w:val="00473E72"/>
    <w:rsid w:val="00484A01"/>
    <w:rsid w:val="004A1BFE"/>
    <w:rsid w:val="004B4331"/>
    <w:rsid w:val="004C6C39"/>
    <w:rsid w:val="00515944"/>
    <w:rsid w:val="00530123"/>
    <w:rsid w:val="00541B6F"/>
    <w:rsid w:val="00551868"/>
    <w:rsid w:val="005830D5"/>
    <w:rsid w:val="005B18E0"/>
    <w:rsid w:val="005C4A69"/>
    <w:rsid w:val="00603520"/>
    <w:rsid w:val="00615ADF"/>
    <w:rsid w:val="00617425"/>
    <w:rsid w:val="00655E66"/>
    <w:rsid w:val="0065794D"/>
    <w:rsid w:val="006B3543"/>
    <w:rsid w:val="006B4DC0"/>
    <w:rsid w:val="006C312F"/>
    <w:rsid w:val="007606EB"/>
    <w:rsid w:val="00780EA5"/>
    <w:rsid w:val="00790E40"/>
    <w:rsid w:val="00794205"/>
    <w:rsid w:val="0079552C"/>
    <w:rsid w:val="007A7DAA"/>
    <w:rsid w:val="007C00BF"/>
    <w:rsid w:val="007D7A6E"/>
    <w:rsid w:val="007E0197"/>
    <w:rsid w:val="007E65D2"/>
    <w:rsid w:val="0084143F"/>
    <w:rsid w:val="00850E52"/>
    <w:rsid w:val="00850F59"/>
    <w:rsid w:val="008619DB"/>
    <w:rsid w:val="00863B37"/>
    <w:rsid w:val="008D3B22"/>
    <w:rsid w:val="008E01BE"/>
    <w:rsid w:val="00950B85"/>
    <w:rsid w:val="00973BC3"/>
    <w:rsid w:val="009B16A4"/>
    <w:rsid w:val="00A40EEC"/>
    <w:rsid w:val="00A422CF"/>
    <w:rsid w:val="00A71521"/>
    <w:rsid w:val="00A74AC1"/>
    <w:rsid w:val="00AA244B"/>
    <w:rsid w:val="00AA60D3"/>
    <w:rsid w:val="00AF12F8"/>
    <w:rsid w:val="00B05361"/>
    <w:rsid w:val="00B10F9E"/>
    <w:rsid w:val="00B264CB"/>
    <w:rsid w:val="00B30E1A"/>
    <w:rsid w:val="00B83538"/>
    <w:rsid w:val="00B86EDF"/>
    <w:rsid w:val="00B936B2"/>
    <w:rsid w:val="00B97F98"/>
    <w:rsid w:val="00BA04EF"/>
    <w:rsid w:val="00BC5F70"/>
    <w:rsid w:val="00BD3B2E"/>
    <w:rsid w:val="00CB2AAE"/>
    <w:rsid w:val="00CB4C99"/>
    <w:rsid w:val="00CC50F7"/>
    <w:rsid w:val="00CD20C6"/>
    <w:rsid w:val="00D00926"/>
    <w:rsid w:val="00D12C2A"/>
    <w:rsid w:val="00D229E1"/>
    <w:rsid w:val="00D4365A"/>
    <w:rsid w:val="00D517D1"/>
    <w:rsid w:val="00D62F0A"/>
    <w:rsid w:val="00DC013F"/>
    <w:rsid w:val="00E0663B"/>
    <w:rsid w:val="00E47045"/>
    <w:rsid w:val="00E8728B"/>
    <w:rsid w:val="00EA3B3F"/>
    <w:rsid w:val="00EC1664"/>
    <w:rsid w:val="00EF09FE"/>
    <w:rsid w:val="00F0738C"/>
    <w:rsid w:val="00F57D7F"/>
    <w:rsid w:val="00FE2EDF"/>
    <w:rsid w:val="00FE3AB8"/>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1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E844D5"/>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E844D5"/>
    <w:rPr>
      <w:rFonts w:ascii="Lucida Grande" w:hAnsi="Lucida Grande"/>
      <w:sz w:val="18"/>
      <w:szCs w:val="18"/>
    </w:rPr>
  </w:style>
  <w:style w:type="paragraph" w:styleId="Notedebasdepage">
    <w:name w:val="footnote text"/>
    <w:basedOn w:val="Normal"/>
    <w:link w:val="NotedebasdepageCar"/>
    <w:uiPriority w:val="99"/>
    <w:semiHidden/>
    <w:unhideWhenUsed/>
    <w:rsid w:val="00D62F0A"/>
    <w:pPr>
      <w:spacing w:after="0"/>
    </w:pPr>
  </w:style>
  <w:style w:type="character" w:customStyle="1" w:styleId="NotedebasdepageCar">
    <w:name w:val="Note de bas de page Car"/>
    <w:basedOn w:val="Policepardfaut"/>
    <w:link w:val="Notedebasdepage"/>
    <w:uiPriority w:val="99"/>
    <w:semiHidden/>
    <w:rsid w:val="00D62F0A"/>
  </w:style>
  <w:style w:type="character" w:styleId="Marquenotebasdepage">
    <w:name w:val="footnote reference"/>
    <w:basedOn w:val="Policepardfaut"/>
    <w:uiPriority w:val="99"/>
    <w:semiHidden/>
    <w:unhideWhenUsed/>
    <w:rsid w:val="00D62F0A"/>
    <w:rPr>
      <w:vertAlign w:val="superscript"/>
    </w:rPr>
  </w:style>
  <w:style w:type="paragraph" w:styleId="Corpsdetexte">
    <w:name w:val="Body Text"/>
    <w:basedOn w:val="Normal"/>
    <w:link w:val="CorpsdetexteCar"/>
    <w:rsid w:val="007E0197"/>
    <w:pPr>
      <w:spacing w:after="0" w:line="360" w:lineRule="auto"/>
      <w:jc w:val="both"/>
    </w:pPr>
    <w:rPr>
      <w:rFonts w:ascii="Times" w:eastAsia="Times" w:hAnsi="Times" w:cs="Times New Roman"/>
      <w:szCs w:val="20"/>
      <w:lang w:eastAsia="fr-FR"/>
    </w:rPr>
  </w:style>
  <w:style w:type="character" w:customStyle="1" w:styleId="CorpsdetexteCar">
    <w:name w:val="Corps de texte Car"/>
    <w:basedOn w:val="Policepardfaut"/>
    <w:link w:val="Corpsdetexte"/>
    <w:rsid w:val="007E0197"/>
    <w:rPr>
      <w:rFonts w:ascii="Times" w:eastAsia="Times" w:hAnsi="Times" w:cs="Times New Roman"/>
      <w:szCs w:val="20"/>
      <w:lang w:eastAsia="fr-FR"/>
    </w:rPr>
  </w:style>
  <w:style w:type="paragraph" w:styleId="En-tte">
    <w:name w:val="header"/>
    <w:basedOn w:val="Normal"/>
    <w:link w:val="En-tteCar"/>
    <w:uiPriority w:val="99"/>
    <w:semiHidden/>
    <w:unhideWhenUsed/>
    <w:rsid w:val="00615ADF"/>
    <w:pPr>
      <w:tabs>
        <w:tab w:val="center" w:pos="4536"/>
        <w:tab w:val="right" w:pos="9072"/>
      </w:tabs>
      <w:spacing w:after="0"/>
    </w:pPr>
  </w:style>
  <w:style w:type="character" w:customStyle="1" w:styleId="En-tteCar">
    <w:name w:val="En-tête Car"/>
    <w:basedOn w:val="Policepardfaut"/>
    <w:link w:val="En-tte"/>
    <w:uiPriority w:val="99"/>
    <w:semiHidden/>
    <w:rsid w:val="00615ADF"/>
  </w:style>
  <w:style w:type="character" w:styleId="Numrodepage">
    <w:name w:val="page number"/>
    <w:basedOn w:val="Policepardfaut"/>
    <w:uiPriority w:val="99"/>
    <w:semiHidden/>
    <w:unhideWhenUsed/>
    <w:rsid w:val="00615AD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header" Target="header1.xml"/><Relationship Id="rId7" Type="http://schemas.openxmlformats.org/officeDocument/2006/relationships/printerSettings" Target="printerSettings/printerSettings1.bin"/><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4079</TotalTime>
  <Pages>11</Pages>
  <Words>4771</Words>
  <Characters>27195</Characters>
  <Application>Microsoft Word 12.0.0</Application>
  <DocSecurity>0</DocSecurity>
  <Lines>226</Lines>
  <Paragraphs>54</Paragraphs>
  <ScaleCrop>false</ScaleCrop>
  <LinksUpToDate>false</LinksUpToDate>
  <CharactersWithSpaces>33397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cp:lastPrinted>2013-03-24T14:15:00Z</cp:lastPrinted>
  <dcterms:created xsi:type="dcterms:W3CDTF">2013-03-02T16:38:00Z</dcterms:created>
  <dcterms:modified xsi:type="dcterms:W3CDTF">2014-04-02T10:21:00Z</dcterms:modified>
</cp:coreProperties>
</file>